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29"/>
        <w:gridCol w:w="4429"/>
      </w:tblGrid>
      <w:tr w:rsidR="0062553E" w:rsidRPr="00D61A20" w14:paraId="719CB5FC" w14:textId="77777777" w:rsidTr="000F72D1">
        <w:tc>
          <w:tcPr>
            <w:tcW w:w="4471" w:type="dxa"/>
            <w:tcBorders>
              <w:right w:val="single" w:sz="4" w:space="0" w:color="auto"/>
            </w:tcBorders>
          </w:tcPr>
          <w:p w14:paraId="1827E003" w14:textId="2371A281" w:rsidR="0062553E" w:rsidRPr="00A85F2D" w:rsidRDefault="0062553E" w:rsidP="00C97A83">
            <w:pPr>
              <w:spacing w:before="0" w:after="0" w:afterAutospacing="0"/>
              <w:ind w:right="0"/>
              <w:jc w:val="center"/>
              <w:rPr>
                <w:rFonts w:asciiTheme="minorHAnsi" w:hAnsiTheme="minorHAnsi" w:cstheme="minorHAnsi"/>
                <w:b/>
                <w:bCs/>
                <w:caps/>
                <w:sz w:val="24"/>
                <w:szCs w:val="24"/>
              </w:rPr>
            </w:pPr>
            <w:r w:rsidRPr="00A85F2D">
              <w:rPr>
                <w:rFonts w:asciiTheme="minorHAnsi" w:hAnsiTheme="minorHAnsi" w:cstheme="minorHAnsi"/>
                <w:b/>
                <w:bCs/>
                <w:sz w:val="24"/>
                <w:szCs w:val="24"/>
              </w:rPr>
              <w:t>PARITAIR COMITE VOOR DE ZELFSTANDIGE KLEINHANDEL</w:t>
            </w:r>
          </w:p>
        </w:tc>
        <w:tc>
          <w:tcPr>
            <w:tcW w:w="4429" w:type="dxa"/>
            <w:tcBorders>
              <w:left w:val="single" w:sz="4" w:space="0" w:color="auto"/>
            </w:tcBorders>
          </w:tcPr>
          <w:p w14:paraId="4CC9A489" w14:textId="5CD26943" w:rsidR="0062553E" w:rsidRPr="00A85F2D" w:rsidRDefault="0062553E" w:rsidP="009C6D83">
            <w:pPr>
              <w:spacing w:before="0" w:after="0" w:afterAutospacing="0"/>
              <w:ind w:right="0"/>
              <w:jc w:val="center"/>
              <w:rPr>
                <w:rFonts w:asciiTheme="minorHAnsi" w:hAnsiTheme="minorHAnsi" w:cstheme="minorHAnsi"/>
                <w:b/>
                <w:bCs/>
                <w:caps/>
                <w:sz w:val="24"/>
                <w:szCs w:val="24"/>
                <w:lang w:val="fr-FR"/>
              </w:rPr>
            </w:pPr>
            <w:r w:rsidRPr="00A85F2D">
              <w:rPr>
                <w:rFonts w:asciiTheme="minorHAnsi" w:eastAsia="Calibri" w:hAnsiTheme="minorHAnsi" w:cstheme="minorHAnsi"/>
                <w:b/>
                <w:sz w:val="24"/>
                <w:szCs w:val="24"/>
                <w:lang w:val="fr-FR" w:bidi="fr-FR"/>
              </w:rPr>
              <w:t>COMMISSION PARITAIRE DU COMMERCE DE DETAIL INDEPENDANT</w:t>
            </w:r>
          </w:p>
        </w:tc>
        <w:tc>
          <w:tcPr>
            <w:tcW w:w="4429" w:type="dxa"/>
          </w:tcPr>
          <w:p w14:paraId="6EBA069D" w14:textId="77777777" w:rsidR="0062553E" w:rsidRPr="00A85F2D" w:rsidRDefault="0062553E" w:rsidP="009C6D83">
            <w:pPr>
              <w:spacing w:before="0" w:after="0" w:afterAutospacing="0"/>
              <w:ind w:right="48"/>
              <w:jc w:val="both"/>
              <w:rPr>
                <w:rFonts w:asciiTheme="minorHAnsi" w:hAnsiTheme="minorHAnsi" w:cstheme="minorHAnsi"/>
                <w:b/>
                <w:bCs/>
                <w:caps/>
                <w:sz w:val="24"/>
                <w:szCs w:val="24"/>
                <w:lang w:val="fr-BE"/>
              </w:rPr>
            </w:pPr>
          </w:p>
        </w:tc>
      </w:tr>
      <w:tr w:rsidR="0062553E" w:rsidRPr="00A85F2D" w14:paraId="202AF449" w14:textId="77777777" w:rsidTr="000F72D1">
        <w:tc>
          <w:tcPr>
            <w:tcW w:w="4471" w:type="dxa"/>
            <w:tcBorders>
              <w:right w:val="single" w:sz="4" w:space="0" w:color="auto"/>
            </w:tcBorders>
          </w:tcPr>
          <w:p w14:paraId="78A76D9C" w14:textId="77777777" w:rsidR="0062553E" w:rsidRDefault="0062553E" w:rsidP="009C6D83">
            <w:pPr>
              <w:pStyle w:val="Titre4"/>
              <w:keepNext w:val="0"/>
              <w:spacing w:before="0" w:after="0"/>
              <w:jc w:val="center"/>
              <w:rPr>
                <w:rFonts w:asciiTheme="minorHAnsi" w:hAnsiTheme="minorHAnsi" w:cstheme="minorHAnsi"/>
                <w:sz w:val="24"/>
                <w:szCs w:val="24"/>
                <w:lang w:val="fr-BE"/>
              </w:rPr>
            </w:pPr>
            <w:r w:rsidRPr="00A85F2D">
              <w:rPr>
                <w:rFonts w:asciiTheme="minorHAnsi" w:hAnsiTheme="minorHAnsi" w:cstheme="minorHAnsi"/>
                <w:sz w:val="24"/>
                <w:szCs w:val="24"/>
                <w:lang w:val="fr-BE"/>
              </w:rPr>
              <w:t>PC 201</w:t>
            </w:r>
          </w:p>
          <w:p w14:paraId="23FE759E" w14:textId="2772C2C9" w:rsidR="00C97A83" w:rsidRPr="00C97A83" w:rsidRDefault="00C97A83" w:rsidP="00C97A83">
            <w:pPr>
              <w:rPr>
                <w:lang w:val="fr-BE"/>
              </w:rPr>
            </w:pPr>
          </w:p>
        </w:tc>
        <w:tc>
          <w:tcPr>
            <w:tcW w:w="4429" w:type="dxa"/>
            <w:tcBorders>
              <w:left w:val="single" w:sz="4" w:space="0" w:color="auto"/>
            </w:tcBorders>
          </w:tcPr>
          <w:p w14:paraId="07FD3344" w14:textId="77777777" w:rsidR="0062553E" w:rsidRDefault="0062553E" w:rsidP="009C6D83">
            <w:pPr>
              <w:pStyle w:val="Titre4"/>
              <w:keepNext w:val="0"/>
              <w:spacing w:before="0" w:after="0"/>
              <w:jc w:val="center"/>
              <w:rPr>
                <w:rFonts w:asciiTheme="minorHAnsi" w:eastAsia="Calibri" w:hAnsiTheme="minorHAnsi" w:cstheme="minorHAnsi"/>
                <w:sz w:val="24"/>
                <w:szCs w:val="24"/>
                <w:lang w:val="fr-FR" w:bidi="fr-FR"/>
              </w:rPr>
            </w:pPr>
            <w:r w:rsidRPr="00A85F2D">
              <w:rPr>
                <w:rFonts w:asciiTheme="minorHAnsi" w:eastAsia="Calibri" w:hAnsiTheme="minorHAnsi" w:cstheme="minorHAnsi"/>
                <w:sz w:val="24"/>
                <w:szCs w:val="24"/>
                <w:lang w:val="fr-FR" w:bidi="fr-FR"/>
              </w:rPr>
              <w:t>CP 201</w:t>
            </w:r>
          </w:p>
          <w:p w14:paraId="73F2E59E" w14:textId="4A24FCA5" w:rsidR="00C97A83" w:rsidRPr="00C97A83" w:rsidRDefault="00C97A83" w:rsidP="00C97A83">
            <w:pPr>
              <w:rPr>
                <w:lang w:val="fr-FR" w:bidi="fr-FR"/>
              </w:rPr>
            </w:pPr>
          </w:p>
        </w:tc>
        <w:tc>
          <w:tcPr>
            <w:tcW w:w="4429" w:type="dxa"/>
            <w:tcBorders>
              <w:left w:val="nil"/>
            </w:tcBorders>
          </w:tcPr>
          <w:p w14:paraId="485FD995" w14:textId="77777777" w:rsidR="0062553E" w:rsidRPr="00A85F2D" w:rsidRDefault="0062553E" w:rsidP="009C6D83">
            <w:pPr>
              <w:pStyle w:val="Titre5"/>
              <w:keepNext w:val="0"/>
              <w:jc w:val="both"/>
              <w:rPr>
                <w:rFonts w:asciiTheme="minorHAnsi" w:hAnsiTheme="minorHAnsi" w:cstheme="minorHAnsi"/>
                <w:sz w:val="24"/>
                <w:szCs w:val="24"/>
                <w:lang w:val="fr-BE"/>
              </w:rPr>
            </w:pPr>
          </w:p>
        </w:tc>
      </w:tr>
      <w:tr w:rsidR="0062553E" w:rsidRPr="00A85F2D" w14:paraId="397E9ED8" w14:textId="77777777" w:rsidTr="0062553E">
        <w:tc>
          <w:tcPr>
            <w:tcW w:w="4471" w:type="dxa"/>
            <w:tcBorders>
              <w:right w:val="single" w:sz="4" w:space="0" w:color="auto"/>
            </w:tcBorders>
          </w:tcPr>
          <w:p w14:paraId="2AEA4F1D" w14:textId="083687A5" w:rsidR="0062553E" w:rsidRPr="00A85F2D" w:rsidRDefault="003365EE" w:rsidP="009C6D83">
            <w:pPr>
              <w:pStyle w:val="Titre4"/>
              <w:keepNext w:val="0"/>
              <w:spacing w:before="0" w:after="0"/>
              <w:jc w:val="both"/>
              <w:rPr>
                <w:rFonts w:asciiTheme="minorHAnsi" w:hAnsiTheme="minorHAnsi" w:cstheme="minorHAnsi"/>
                <w:sz w:val="24"/>
                <w:szCs w:val="24"/>
                <w:lang w:val="nl-BE"/>
              </w:rPr>
            </w:pPr>
            <w:r w:rsidRPr="00A85F2D">
              <w:rPr>
                <w:rFonts w:asciiTheme="minorHAnsi" w:hAnsiTheme="minorHAnsi" w:cstheme="minorHAnsi"/>
                <w:sz w:val="24"/>
                <w:szCs w:val="24"/>
                <w:lang w:val="nl-BE"/>
              </w:rPr>
              <w:t>SECTOR</w:t>
            </w:r>
            <w:r w:rsidR="0062553E" w:rsidRPr="00A85F2D">
              <w:rPr>
                <w:rFonts w:asciiTheme="minorHAnsi" w:hAnsiTheme="minorHAnsi" w:cstheme="minorHAnsi"/>
                <w:sz w:val="24"/>
                <w:szCs w:val="24"/>
                <w:lang w:val="nl-BE"/>
              </w:rPr>
              <w:t>AKKOORD</w:t>
            </w:r>
            <w:r w:rsidR="002A3249" w:rsidRPr="00A85F2D">
              <w:rPr>
                <w:rFonts w:asciiTheme="minorHAnsi" w:hAnsiTheme="minorHAnsi" w:cstheme="minorHAnsi"/>
                <w:sz w:val="24"/>
                <w:szCs w:val="24"/>
                <w:lang w:val="nl-BE"/>
              </w:rPr>
              <w:t xml:space="preserve"> 202</w:t>
            </w:r>
            <w:r w:rsidR="00B61052">
              <w:rPr>
                <w:rFonts w:asciiTheme="minorHAnsi" w:hAnsiTheme="minorHAnsi" w:cstheme="minorHAnsi"/>
                <w:sz w:val="24"/>
                <w:szCs w:val="24"/>
                <w:lang w:val="nl-BE"/>
              </w:rPr>
              <w:t>3</w:t>
            </w:r>
            <w:r w:rsidR="0062553E" w:rsidRPr="00A85F2D">
              <w:rPr>
                <w:rFonts w:asciiTheme="minorHAnsi" w:hAnsiTheme="minorHAnsi" w:cstheme="minorHAnsi"/>
                <w:sz w:val="24"/>
                <w:szCs w:val="24"/>
                <w:lang w:val="nl-BE"/>
              </w:rPr>
              <w:t>-20</w:t>
            </w:r>
            <w:r w:rsidR="002A3249" w:rsidRPr="00A85F2D">
              <w:rPr>
                <w:rFonts w:asciiTheme="minorHAnsi" w:hAnsiTheme="minorHAnsi" w:cstheme="minorHAnsi"/>
                <w:sz w:val="24"/>
                <w:szCs w:val="24"/>
                <w:lang w:val="nl-BE"/>
              </w:rPr>
              <w:t>2</w:t>
            </w:r>
            <w:r w:rsidR="00B61052">
              <w:rPr>
                <w:rFonts w:asciiTheme="minorHAnsi" w:hAnsiTheme="minorHAnsi" w:cstheme="minorHAnsi"/>
                <w:sz w:val="24"/>
                <w:szCs w:val="24"/>
                <w:lang w:val="nl-BE"/>
              </w:rPr>
              <w:t>4</w:t>
            </w:r>
            <w:r w:rsidR="0062553E" w:rsidRPr="00A85F2D">
              <w:rPr>
                <w:rFonts w:asciiTheme="minorHAnsi" w:hAnsiTheme="minorHAnsi" w:cstheme="minorHAnsi"/>
                <w:sz w:val="24"/>
                <w:szCs w:val="24"/>
                <w:lang w:val="nl-BE"/>
              </w:rPr>
              <w:t xml:space="preserve"> VAN </w:t>
            </w:r>
            <w:r w:rsidR="00A85F2D">
              <w:rPr>
                <w:rFonts w:asciiTheme="minorHAnsi" w:hAnsiTheme="minorHAnsi" w:cstheme="minorHAnsi"/>
                <w:sz w:val="24"/>
                <w:szCs w:val="24"/>
                <w:lang w:val="nl-BE"/>
              </w:rPr>
              <w:t>30 NOVEMBER</w:t>
            </w:r>
            <w:r w:rsidR="002A3249" w:rsidRPr="00A85F2D">
              <w:rPr>
                <w:rFonts w:asciiTheme="minorHAnsi" w:hAnsiTheme="minorHAnsi" w:cstheme="minorHAnsi"/>
                <w:sz w:val="24"/>
                <w:szCs w:val="24"/>
                <w:lang w:val="nl-BE"/>
              </w:rPr>
              <w:t xml:space="preserve"> 202</w:t>
            </w:r>
            <w:r w:rsidR="00A85F2D">
              <w:rPr>
                <w:rFonts w:asciiTheme="minorHAnsi" w:hAnsiTheme="minorHAnsi" w:cstheme="minorHAnsi"/>
                <w:sz w:val="24"/>
                <w:szCs w:val="24"/>
                <w:lang w:val="nl-BE"/>
              </w:rPr>
              <w:t>3</w:t>
            </w:r>
          </w:p>
        </w:tc>
        <w:tc>
          <w:tcPr>
            <w:tcW w:w="4429" w:type="dxa"/>
          </w:tcPr>
          <w:p w14:paraId="79E9E705" w14:textId="20B10AD6" w:rsidR="0062553E" w:rsidRPr="00A85F2D" w:rsidRDefault="0062553E" w:rsidP="009C6D83">
            <w:pPr>
              <w:pStyle w:val="Titre4"/>
              <w:keepNext w:val="0"/>
              <w:spacing w:before="0" w:after="0"/>
              <w:jc w:val="both"/>
              <w:rPr>
                <w:rFonts w:asciiTheme="minorHAnsi" w:hAnsiTheme="minorHAnsi" w:cstheme="minorHAnsi"/>
                <w:sz w:val="24"/>
                <w:szCs w:val="24"/>
                <w:lang w:val="fr-FR"/>
              </w:rPr>
            </w:pPr>
            <w:r w:rsidRPr="00A85F2D">
              <w:rPr>
                <w:rFonts w:asciiTheme="minorHAnsi" w:eastAsia="Calibri" w:hAnsiTheme="minorHAnsi" w:cstheme="minorHAnsi"/>
                <w:bCs w:val="0"/>
                <w:sz w:val="24"/>
                <w:szCs w:val="24"/>
                <w:lang w:val="fr-FR" w:bidi="fr-FR"/>
              </w:rPr>
              <w:t>ACCORD</w:t>
            </w:r>
            <w:r w:rsidR="003365EE" w:rsidRPr="00A85F2D">
              <w:rPr>
                <w:rFonts w:asciiTheme="minorHAnsi" w:eastAsia="Calibri" w:hAnsiTheme="minorHAnsi" w:cstheme="minorHAnsi"/>
                <w:bCs w:val="0"/>
                <w:sz w:val="24"/>
                <w:szCs w:val="24"/>
                <w:lang w:val="fr-FR" w:bidi="fr-FR"/>
              </w:rPr>
              <w:t xml:space="preserve"> SECTORIEL</w:t>
            </w:r>
            <w:r w:rsidR="002A3249" w:rsidRPr="00A85F2D">
              <w:rPr>
                <w:rFonts w:asciiTheme="minorHAnsi" w:eastAsia="Calibri" w:hAnsiTheme="minorHAnsi" w:cstheme="minorHAnsi"/>
                <w:bCs w:val="0"/>
                <w:sz w:val="24"/>
                <w:szCs w:val="24"/>
                <w:lang w:val="fr-FR" w:bidi="fr-FR"/>
              </w:rPr>
              <w:t xml:space="preserve"> 202</w:t>
            </w:r>
            <w:r w:rsidR="00B61052">
              <w:rPr>
                <w:rFonts w:asciiTheme="minorHAnsi" w:eastAsia="Calibri" w:hAnsiTheme="minorHAnsi" w:cstheme="minorHAnsi"/>
                <w:bCs w:val="0"/>
                <w:sz w:val="24"/>
                <w:szCs w:val="24"/>
                <w:lang w:val="fr-FR" w:bidi="fr-FR"/>
              </w:rPr>
              <w:t>3</w:t>
            </w:r>
            <w:r w:rsidRPr="00A85F2D">
              <w:rPr>
                <w:rFonts w:asciiTheme="minorHAnsi" w:eastAsia="Calibri" w:hAnsiTheme="minorHAnsi" w:cstheme="minorHAnsi"/>
                <w:bCs w:val="0"/>
                <w:sz w:val="24"/>
                <w:szCs w:val="24"/>
                <w:lang w:val="fr-FR" w:bidi="fr-FR"/>
              </w:rPr>
              <w:t>-20</w:t>
            </w:r>
            <w:r w:rsidR="002A3249" w:rsidRPr="00A85F2D">
              <w:rPr>
                <w:rFonts w:asciiTheme="minorHAnsi" w:eastAsia="Calibri" w:hAnsiTheme="minorHAnsi" w:cstheme="minorHAnsi"/>
                <w:bCs w:val="0"/>
                <w:sz w:val="24"/>
                <w:szCs w:val="24"/>
                <w:lang w:val="fr-FR" w:bidi="fr-FR"/>
              </w:rPr>
              <w:t>2</w:t>
            </w:r>
            <w:r w:rsidR="00B61052">
              <w:rPr>
                <w:rFonts w:asciiTheme="minorHAnsi" w:eastAsia="Calibri" w:hAnsiTheme="minorHAnsi" w:cstheme="minorHAnsi"/>
                <w:bCs w:val="0"/>
                <w:sz w:val="24"/>
                <w:szCs w:val="24"/>
                <w:lang w:val="fr-FR" w:bidi="fr-FR"/>
              </w:rPr>
              <w:t>4</w:t>
            </w:r>
            <w:r w:rsidRPr="00A85F2D">
              <w:rPr>
                <w:rFonts w:asciiTheme="minorHAnsi" w:eastAsia="Calibri" w:hAnsiTheme="minorHAnsi" w:cstheme="minorHAnsi"/>
                <w:bCs w:val="0"/>
                <w:sz w:val="24"/>
                <w:szCs w:val="24"/>
                <w:lang w:val="fr-FR" w:bidi="fr-FR"/>
              </w:rPr>
              <w:t xml:space="preserve"> DU </w:t>
            </w:r>
            <w:r w:rsidR="00A85F2D">
              <w:rPr>
                <w:rFonts w:asciiTheme="minorHAnsi" w:eastAsia="Calibri" w:hAnsiTheme="minorHAnsi" w:cstheme="minorHAnsi"/>
                <w:bCs w:val="0"/>
                <w:sz w:val="24"/>
                <w:szCs w:val="24"/>
                <w:lang w:val="fr-FR" w:bidi="fr-FR"/>
              </w:rPr>
              <w:t xml:space="preserve">30 NOVEMBRE </w:t>
            </w:r>
            <w:r w:rsidR="002A3249" w:rsidRPr="00A85F2D">
              <w:rPr>
                <w:rFonts w:asciiTheme="minorHAnsi" w:eastAsia="Calibri" w:hAnsiTheme="minorHAnsi" w:cstheme="minorHAnsi"/>
                <w:bCs w:val="0"/>
                <w:sz w:val="24"/>
                <w:szCs w:val="24"/>
                <w:lang w:val="fr-FR" w:bidi="fr-FR"/>
              </w:rPr>
              <w:t>202</w:t>
            </w:r>
            <w:r w:rsidR="00A85F2D">
              <w:rPr>
                <w:rFonts w:asciiTheme="minorHAnsi" w:eastAsia="Calibri" w:hAnsiTheme="minorHAnsi" w:cstheme="minorHAnsi"/>
                <w:bCs w:val="0"/>
                <w:sz w:val="24"/>
                <w:szCs w:val="24"/>
                <w:lang w:val="fr-FR" w:bidi="fr-FR"/>
              </w:rPr>
              <w:t>3</w:t>
            </w:r>
          </w:p>
        </w:tc>
        <w:tc>
          <w:tcPr>
            <w:tcW w:w="4429" w:type="dxa"/>
            <w:tcBorders>
              <w:left w:val="nil"/>
            </w:tcBorders>
          </w:tcPr>
          <w:p w14:paraId="1D50A2B4" w14:textId="77777777" w:rsidR="0062553E" w:rsidRPr="00A85F2D" w:rsidRDefault="0062553E" w:rsidP="009C6D83">
            <w:pPr>
              <w:pStyle w:val="Titre4"/>
              <w:keepNext w:val="0"/>
              <w:spacing w:before="0" w:after="0"/>
              <w:jc w:val="both"/>
              <w:rPr>
                <w:rFonts w:asciiTheme="minorHAnsi" w:hAnsiTheme="minorHAnsi" w:cstheme="minorHAnsi"/>
                <w:sz w:val="24"/>
                <w:szCs w:val="24"/>
                <w:lang w:val="fr-BE"/>
              </w:rPr>
            </w:pPr>
          </w:p>
        </w:tc>
      </w:tr>
      <w:tr w:rsidR="0062553E" w:rsidRPr="00D61A20" w14:paraId="5CB0F204" w14:textId="77777777" w:rsidTr="0062553E">
        <w:tc>
          <w:tcPr>
            <w:tcW w:w="4471" w:type="dxa"/>
            <w:tcBorders>
              <w:right w:val="single" w:sz="4" w:space="0" w:color="auto"/>
            </w:tcBorders>
          </w:tcPr>
          <w:p w14:paraId="49A09AF0" w14:textId="3C71769B" w:rsidR="00A85F2D" w:rsidRPr="00292A59" w:rsidRDefault="0062553E" w:rsidP="009C6D83">
            <w:pPr>
              <w:spacing w:before="0" w:after="0" w:afterAutospacing="0"/>
              <w:ind w:right="0"/>
              <w:jc w:val="both"/>
              <w:rPr>
                <w:rFonts w:asciiTheme="minorHAnsi" w:hAnsiTheme="minorHAnsi" w:cstheme="minorHAnsi"/>
                <w:szCs w:val="22"/>
              </w:rPr>
            </w:pPr>
            <w:r w:rsidRPr="00292A59">
              <w:rPr>
                <w:rFonts w:asciiTheme="minorHAnsi" w:hAnsiTheme="minorHAnsi" w:cstheme="minorHAnsi"/>
                <w:szCs w:val="22"/>
              </w:rPr>
              <w:t>Deze collectieve arbeidsovereenkomst is van toepassing op de werkgevers en op de bedienden van de ondernemingen welke ressorteren onder het Paritair comité voor de zelfstandige kleinhandel</w:t>
            </w:r>
            <w:r w:rsidR="00404C70" w:rsidRPr="00292A59">
              <w:rPr>
                <w:rFonts w:asciiTheme="minorHAnsi" w:hAnsiTheme="minorHAnsi" w:cstheme="minorHAnsi"/>
                <w:szCs w:val="22"/>
              </w:rPr>
              <w:t xml:space="preserve"> en het Paritair comité voor de middelgrote levensmiddelenbedrijven</w:t>
            </w:r>
            <w:r w:rsidRPr="00292A59">
              <w:rPr>
                <w:rFonts w:asciiTheme="minorHAnsi" w:hAnsiTheme="minorHAnsi" w:cstheme="minorHAnsi"/>
                <w:szCs w:val="22"/>
              </w:rPr>
              <w:t>.</w:t>
            </w:r>
          </w:p>
        </w:tc>
        <w:tc>
          <w:tcPr>
            <w:tcW w:w="4429" w:type="dxa"/>
          </w:tcPr>
          <w:p w14:paraId="3164B431" w14:textId="0A7CC4D1" w:rsidR="0062553E" w:rsidRPr="00292A59" w:rsidRDefault="0062553E" w:rsidP="009C6D83">
            <w:pPr>
              <w:spacing w:before="0" w:after="0" w:afterAutospacing="0"/>
              <w:ind w:right="0"/>
              <w:jc w:val="both"/>
              <w:rPr>
                <w:rFonts w:asciiTheme="minorHAnsi" w:hAnsiTheme="minorHAnsi" w:cstheme="minorHAnsi"/>
                <w:szCs w:val="22"/>
                <w:lang w:val="fr-FR"/>
              </w:rPr>
            </w:pPr>
            <w:r w:rsidRPr="00292A59">
              <w:rPr>
                <w:rFonts w:asciiTheme="minorHAnsi" w:eastAsia="Calibri" w:hAnsiTheme="minorHAnsi" w:cstheme="minorHAnsi"/>
                <w:szCs w:val="22"/>
                <w:lang w:val="fr-FR" w:bidi="fr-FR"/>
              </w:rPr>
              <w:t>La présente convention collective de travail s’applique aux employeurs et aux employés des entreprises ressortissant de la Commission paritaire du commerce de détail indépendant</w:t>
            </w:r>
            <w:r w:rsidR="00404C70" w:rsidRPr="00292A59">
              <w:rPr>
                <w:rFonts w:asciiTheme="minorHAnsi" w:eastAsia="Calibri" w:hAnsiTheme="minorHAnsi" w:cstheme="minorHAnsi"/>
                <w:szCs w:val="22"/>
                <w:lang w:val="fr-FR" w:bidi="fr-FR"/>
              </w:rPr>
              <w:t xml:space="preserve"> et de la Commission paritaire pour les moyennes entreprises d’alimentation</w:t>
            </w:r>
            <w:r w:rsidRPr="00292A59">
              <w:rPr>
                <w:rFonts w:asciiTheme="minorHAnsi" w:eastAsia="Calibri" w:hAnsiTheme="minorHAnsi" w:cstheme="minorHAnsi"/>
                <w:szCs w:val="22"/>
                <w:lang w:val="fr-FR" w:bidi="fr-FR"/>
              </w:rPr>
              <w:t>.</w:t>
            </w:r>
          </w:p>
        </w:tc>
        <w:tc>
          <w:tcPr>
            <w:tcW w:w="4429" w:type="dxa"/>
            <w:tcBorders>
              <w:left w:val="nil"/>
            </w:tcBorders>
          </w:tcPr>
          <w:p w14:paraId="7F618ED1" w14:textId="77777777" w:rsidR="0062553E" w:rsidRPr="00A85F2D" w:rsidRDefault="0062553E" w:rsidP="009C6D83">
            <w:pPr>
              <w:spacing w:before="0" w:after="0" w:afterAutospacing="0"/>
              <w:ind w:right="30"/>
              <w:jc w:val="both"/>
              <w:rPr>
                <w:rFonts w:asciiTheme="minorHAnsi" w:hAnsiTheme="minorHAnsi" w:cstheme="minorHAnsi"/>
                <w:sz w:val="24"/>
                <w:szCs w:val="24"/>
                <w:lang w:val="fr-BE"/>
              </w:rPr>
            </w:pPr>
          </w:p>
        </w:tc>
      </w:tr>
      <w:tr w:rsidR="0068556E" w:rsidRPr="00D61A20" w14:paraId="1502758D" w14:textId="77777777" w:rsidTr="0062553E">
        <w:tc>
          <w:tcPr>
            <w:tcW w:w="4471" w:type="dxa"/>
            <w:tcBorders>
              <w:right w:val="single" w:sz="4" w:space="0" w:color="auto"/>
            </w:tcBorders>
          </w:tcPr>
          <w:p w14:paraId="1525AFCF" w14:textId="77777777" w:rsidR="00A85F2D" w:rsidRPr="00F91D8A" w:rsidRDefault="00A85F2D" w:rsidP="009C6D83">
            <w:pPr>
              <w:pStyle w:val="Titre3"/>
              <w:spacing w:after="0" w:afterAutospacing="0"/>
              <w:ind w:right="0"/>
              <w:jc w:val="both"/>
              <w:rPr>
                <w:rFonts w:asciiTheme="minorHAnsi" w:hAnsiTheme="minorHAnsi" w:cstheme="minorHAnsi"/>
                <w:b/>
                <w:i w:val="0"/>
                <w:szCs w:val="22"/>
                <w:lang w:val="fr-BE"/>
              </w:rPr>
            </w:pPr>
          </w:p>
          <w:p w14:paraId="20D038B8" w14:textId="67DFF0CC" w:rsidR="0068556E" w:rsidRPr="00292A59" w:rsidRDefault="0068556E" w:rsidP="009C6D83">
            <w:pPr>
              <w:pStyle w:val="Titre3"/>
              <w:spacing w:after="0" w:afterAutospacing="0"/>
              <w:ind w:right="0"/>
              <w:jc w:val="both"/>
              <w:rPr>
                <w:rFonts w:asciiTheme="minorHAnsi" w:hAnsiTheme="minorHAnsi" w:cstheme="minorHAnsi"/>
                <w:b/>
                <w:i w:val="0"/>
                <w:szCs w:val="22"/>
              </w:rPr>
            </w:pPr>
            <w:r w:rsidRPr="00292A59">
              <w:rPr>
                <w:rFonts w:asciiTheme="minorHAnsi" w:hAnsiTheme="minorHAnsi" w:cstheme="minorHAnsi"/>
                <w:b/>
                <w:i w:val="0"/>
                <w:szCs w:val="22"/>
              </w:rPr>
              <w:t>1. Woon-werkverkeer - eigen vervoer</w:t>
            </w:r>
          </w:p>
          <w:p w14:paraId="6F1CA8F5" w14:textId="2FC7A2AE" w:rsidR="0068556E" w:rsidRPr="00292A59" w:rsidRDefault="0068556E" w:rsidP="009C6D83">
            <w:pPr>
              <w:pStyle w:val="Titre3"/>
              <w:spacing w:after="0" w:afterAutospacing="0"/>
              <w:ind w:right="0"/>
              <w:jc w:val="both"/>
              <w:rPr>
                <w:rFonts w:asciiTheme="minorHAnsi" w:hAnsiTheme="minorHAnsi" w:cstheme="minorHAnsi"/>
                <w:bCs/>
                <w:i w:val="0"/>
                <w:szCs w:val="22"/>
              </w:rPr>
            </w:pPr>
            <w:r w:rsidRPr="00292A59">
              <w:rPr>
                <w:rFonts w:asciiTheme="minorHAnsi" w:hAnsiTheme="minorHAnsi" w:cstheme="minorHAnsi"/>
                <w:bCs/>
                <w:i w:val="0"/>
                <w:szCs w:val="22"/>
              </w:rPr>
              <w:t xml:space="preserve">Vanaf 2024 is een werkgeversbijdrage verplicht wanneer een werknemer uitsluitend met eigen vervoer naar het werk reist. </w:t>
            </w:r>
          </w:p>
          <w:p w14:paraId="398AAF19" w14:textId="77777777" w:rsidR="0068556E" w:rsidRPr="00292A59" w:rsidRDefault="0068556E" w:rsidP="009C6D83">
            <w:pPr>
              <w:pStyle w:val="Titre3"/>
              <w:spacing w:after="0" w:afterAutospacing="0"/>
              <w:ind w:right="0"/>
              <w:jc w:val="both"/>
              <w:rPr>
                <w:rFonts w:asciiTheme="minorHAnsi" w:hAnsiTheme="minorHAnsi" w:cstheme="minorHAnsi"/>
                <w:bCs/>
                <w:i w:val="0"/>
                <w:szCs w:val="22"/>
              </w:rPr>
            </w:pPr>
          </w:p>
          <w:p w14:paraId="186C21BC" w14:textId="4DBDE2BE" w:rsidR="0068556E" w:rsidRPr="00292A59" w:rsidRDefault="00D40DD8" w:rsidP="009C6D83">
            <w:pPr>
              <w:pStyle w:val="Titre3"/>
              <w:spacing w:after="0" w:afterAutospacing="0"/>
              <w:ind w:right="0"/>
              <w:jc w:val="both"/>
              <w:rPr>
                <w:rFonts w:asciiTheme="minorHAnsi" w:hAnsiTheme="minorHAnsi" w:cstheme="minorHAnsi"/>
                <w:bCs/>
                <w:i w:val="0"/>
                <w:szCs w:val="22"/>
              </w:rPr>
            </w:pPr>
            <w:r w:rsidRPr="00D40DD8">
              <w:rPr>
                <w:rFonts w:asciiTheme="minorHAnsi" w:hAnsiTheme="minorHAnsi" w:cstheme="minorHAnsi"/>
                <w:bCs/>
                <w:i w:val="0"/>
                <w:szCs w:val="22"/>
              </w:rPr>
              <w:t>Deze bijdrage is vastgesteld op 50% van de prijs van de maandelijkse treinkaart in de 2e klas, en voor een gelijkwaardige afstand.</w:t>
            </w:r>
          </w:p>
          <w:p w14:paraId="0756E000" w14:textId="77777777" w:rsidR="0068556E" w:rsidRPr="00292A59" w:rsidRDefault="0068556E" w:rsidP="009C6D83">
            <w:pPr>
              <w:pStyle w:val="Titre3"/>
              <w:spacing w:after="0" w:afterAutospacing="0"/>
              <w:ind w:right="0"/>
              <w:jc w:val="both"/>
              <w:rPr>
                <w:rFonts w:asciiTheme="minorHAnsi" w:hAnsiTheme="minorHAnsi" w:cstheme="minorHAnsi"/>
                <w:bCs/>
                <w:i w:val="0"/>
                <w:szCs w:val="22"/>
              </w:rPr>
            </w:pPr>
          </w:p>
          <w:p w14:paraId="0F19D96F" w14:textId="5799A469" w:rsidR="001838C1" w:rsidRPr="001838C1" w:rsidRDefault="001838C1" w:rsidP="009C6D83">
            <w:pPr>
              <w:spacing w:before="0" w:after="0" w:afterAutospacing="0"/>
              <w:jc w:val="both"/>
              <w:rPr>
                <w:rFonts w:asciiTheme="minorHAnsi" w:hAnsiTheme="minorHAnsi" w:cstheme="minorHAnsi"/>
                <w:szCs w:val="22"/>
              </w:rPr>
            </w:pPr>
            <w:r w:rsidRPr="001838C1">
              <w:rPr>
                <w:rFonts w:asciiTheme="minorHAnsi" w:hAnsiTheme="minorHAnsi" w:cstheme="minorHAnsi"/>
                <w:szCs w:val="22"/>
              </w:rPr>
              <w:t>De vergoeding wordt betaald vanaf de eerste KM en is beperkt tot het bedrag dat overeenkomt met een reis van 10 km (</w:t>
            </w:r>
            <w:r>
              <w:rPr>
                <w:rFonts w:asciiTheme="minorHAnsi" w:hAnsiTheme="minorHAnsi" w:cstheme="minorHAnsi"/>
                <w:szCs w:val="22"/>
              </w:rPr>
              <w:t>heen</w:t>
            </w:r>
            <w:r w:rsidRPr="001838C1">
              <w:rPr>
                <w:rFonts w:asciiTheme="minorHAnsi" w:hAnsiTheme="minorHAnsi" w:cstheme="minorHAnsi"/>
                <w:szCs w:val="22"/>
              </w:rPr>
              <w:t>).</w:t>
            </w:r>
          </w:p>
          <w:p w14:paraId="6DB72388" w14:textId="77777777" w:rsidR="001838C1" w:rsidRPr="001838C1" w:rsidRDefault="001838C1" w:rsidP="009C6D83">
            <w:pPr>
              <w:spacing w:before="0" w:after="0" w:afterAutospacing="0"/>
              <w:jc w:val="both"/>
              <w:rPr>
                <w:rFonts w:asciiTheme="minorHAnsi" w:hAnsiTheme="minorHAnsi" w:cstheme="minorHAnsi"/>
                <w:szCs w:val="22"/>
              </w:rPr>
            </w:pPr>
          </w:p>
          <w:p w14:paraId="15390FF0" w14:textId="0AC7321C" w:rsidR="00A45ADE" w:rsidRDefault="001838C1" w:rsidP="009C6D83">
            <w:pPr>
              <w:spacing w:before="0" w:after="0" w:afterAutospacing="0"/>
              <w:jc w:val="both"/>
              <w:rPr>
                <w:rFonts w:asciiTheme="minorHAnsi" w:hAnsiTheme="minorHAnsi" w:cstheme="minorHAnsi"/>
                <w:szCs w:val="22"/>
              </w:rPr>
            </w:pPr>
            <w:r w:rsidRPr="001838C1">
              <w:rPr>
                <w:rFonts w:asciiTheme="minorHAnsi" w:hAnsiTheme="minorHAnsi" w:cstheme="minorHAnsi"/>
                <w:szCs w:val="22"/>
              </w:rPr>
              <w:t>De vergoeding wordt evenredig verdeeld op basis van het aantal gewerkte dagen</w:t>
            </w:r>
            <w:r w:rsidR="00DE4304">
              <w:rPr>
                <w:rFonts w:asciiTheme="minorHAnsi" w:hAnsiTheme="minorHAnsi" w:cstheme="minorHAnsi"/>
                <w:szCs w:val="22"/>
              </w:rPr>
              <w:t>.</w:t>
            </w:r>
          </w:p>
          <w:p w14:paraId="0529673C" w14:textId="6563C24F" w:rsidR="00A45ADE" w:rsidRDefault="00A45ADE" w:rsidP="009C6D83">
            <w:pPr>
              <w:spacing w:before="0" w:after="0" w:afterAutospacing="0"/>
              <w:jc w:val="both"/>
              <w:rPr>
                <w:rFonts w:asciiTheme="minorHAnsi" w:hAnsiTheme="minorHAnsi" w:cstheme="minorHAnsi"/>
                <w:szCs w:val="22"/>
              </w:rPr>
            </w:pPr>
          </w:p>
          <w:p w14:paraId="2754B955" w14:textId="1979295A" w:rsidR="00AB16AE" w:rsidRPr="00292A59" w:rsidRDefault="00AB16AE" w:rsidP="00AB16AE">
            <w:pPr>
              <w:pStyle w:val="Titre3"/>
              <w:spacing w:after="0" w:afterAutospacing="0"/>
              <w:ind w:right="0"/>
              <w:jc w:val="both"/>
              <w:rPr>
                <w:rFonts w:asciiTheme="minorHAnsi" w:hAnsiTheme="minorHAnsi" w:cstheme="minorHAnsi"/>
                <w:b/>
                <w:i w:val="0"/>
                <w:szCs w:val="22"/>
              </w:rPr>
            </w:pPr>
            <w:r>
              <w:rPr>
                <w:rFonts w:asciiTheme="minorHAnsi" w:hAnsiTheme="minorHAnsi" w:cstheme="minorHAnsi"/>
                <w:b/>
                <w:i w:val="0"/>
                <w:szCs w:val="22"/>
              </w:rPr>
              <w:t>2</w:t>
            </w:r>
            <w:r w:rsidRPr="00292A59">
              <w:rPr>
                <w:rFonts w:asciiTheme="minorHAnsi" w:hAnsiTheme="minorHAnsi" w:cstheme="minorHAnsi"/>
                <w:b/>
                <w:i w:val="0"/>
                <w:szCs w:val="22"/>
              </w:rPr>
              <w:t xml:space="preserve">. Fietsvergoeding </w:t>
            </w:r>
          </w:p>
          <w:p w14:paraId="7856B024" w14:textId="77777777" w:rsidR="00AB16AE" w:rsidRDefault="00AB16AE" w:rsidP="00AB16AE">
            <w:pPr>
              <w:pStyle w:val="Titre3"/>
              <w:spacing w:after="0" w:afterAutospacing="0"/>
              <w:ind w:right="0"/>
              <w:jc w:val="both"/>
              <w:rPr>
                <w:rFonts w:asciiTheme="minorHAnsi" w:hAnsiTheme="minorHAnsi" w:cstheme="minorHAnsi"/>
                <w:bCs/>
                <w:i w:val="0"/>
                <w:szCs w:val="22"/>
              </w:rPr>
            </w:pPr>
            <w:r w:rsidRPr="00292A59">
              <w:rPr>
                <w:rFonts w:asciiTheme="minorHAnsi" w:hAnsiTheme="minorHAnsi" w:cstheme="minorHAnsi"/>
                <w:bCs/>
                <w:i w:val="0"/>
                <w:szCs w:val="22"/>
              </w:rPr>
              <w:t>Vanaf 1 januari 2024 wordt het bedrag van de vergoeding verhoogd tot €0,27/km.</w:t>
            </w:r>
          </w:p>
          <w:p w14:paraId="2AC4572F" w14:textId="77777777" w:rsidR="00AB16AE" w:rsidRPr="00292A59" w:rsidRDefault="00AB16AE" w:rsidP="009C6D83">
            <w:pPr>
              <w:spacing w:before="0" w:after="0" w:afterAutospacing="0"/>
              <w:jc w:val="both"/>
              <w:rPr>
                <w:rFonts w:asciiTheme="minorHAnsi" w:hAnsiTheme="minorHAnsi" w:cstheme="minorHAnsi"/>
                <w:szCs w:val="22"/>
              </w:rPr>
            </w:pPr>
          </w:p>
          <w:p w14:paraId="245DB430" w14:textId="63D1CB7D" w:rsidR="0068556E" w:rsidRPr="00292A59" w:rsidRDefault="00AB16AE" w:rsidP="009C6D83">
            <w:pPr>
              <w:pStyle w:val="Titre3"/>
              <w:spacing w:after="0" w:afterAutospacing="0"/>
              <w:ind w:right="0"/>
              <w:jc w:val="both"/>
              <w:rPr>
                <w:rFonts w:asciiTheme="minorHAnsi" w:hAnsiTheme="minorHAnsi" w:cstheme="minorHAnsi"/>
                <w:b/>
                <w:i w:val="0"/>
                <w:szCs w:val="22"/>
              </w:rPr>
            </w:pPr>
            <w:r>
              <w:rPr>
                <w:rFonts w:asciiTheme="minorHAnsi" w:hAnsiTheme="minorHAnsi" w:cstheme="minorHAnsi"/>
                <w:b/>
                <w:i w:val="0"/>
                <w:szCs w:val="22"/>
              </w:rPr>
              <w:t>3</w:t>
            </w:r>
            <w:r w:rsidR="0068556E" w:rsidRPr="00292A59">
              <w:rPr>
                <w:rFonts w:asciiTheme="minorHAnsi" w:hAnsiTheme="minorHAnsi" w:cstheme="minorHAnsi"/>
                <w:b/>
                <w:i w:val="0"/>
                <w:szCs w:val="22"/>
              </w:rPr>
              <w:t>. Koopkrachtpremie</w:t>
            </w:r>
          </w:p>
          <w:p w14:paraId="28F017D2" w14:textId="1DCE9408" w:rsidR="005331B2" w:rsidRPr="005331B2" w:rsidRDefault="0068556E" w:rsidP="009C6D83">
            <w:pPr>
              <w:pStyle w:val="Titre3"/>
              <w:spacing w:after="0" w:afterAutospacing="0"/>
              <w:ind w:right="0"/>
              <w:jc w:val="both"/>
              <w:rPr>
                <w:rFonts w:asciiTheme="minorHAnsi" w:hAnsiTheme="minorHAnsi" w:cstheme="minorHAnsi"/>
                <w:bCs/>
                <w:i w:val="0"/>
                <w:szCs w:val="22"/>
              </w:rPr>
            </w:pPr>
            <w:r w:rsidRPr="00292A59">
              <w:rPr>
                <w:rFonts w:asciiTheme="minorHAnsi" w:hAnsiTheme="minorHAnsi" w:cstheme="minorHAnsi"/>
                <w:bCs/>
                <w:i w:val="0"/>
                <w:szCs w:val="22"/>
              </w:rPr>
              <w:t xml:space="preserve">Het </w:t>
            </w:r>
            <w:r w:rsidR="00A85F2D" w:rsidRPr="00292A59">
              <w:rPr>
                <w:rFonts w:asciiTheme="minorHAnsi" w:hAnsiTheme="minorHAnsi" w:cstheme="minorHAnsi"/>
                <w:bCs/>
                <w:i w:val="0"/>
                <w:szCs w:val="22"/>
              </w:rPr>
              <w:t>gunnings</w:t>
            </w:r>
            <w:r w:rsidRPr="00292A59">
              <w:rPr>
                <w:rFonts w:asciiTheme="minorHAnsi" w:hAnsiTheme="minorHAnsi" w:cstheme="minorHAnsi"/>
                <w:bCs/>
                <w:i w:val="0"/>
                <w:szCs w:val="22"/>
              </w:rPr>
              <w:t xml:space="preserve">criterium is </w:t>
            </w:r>
            <w:r w:rsidR="00F91D8A">
              <w:rPr>
                <w:rFonts w:asciiTheme="minorHAnsi" w:hAnsiTheme="minorHAnsi" w:cstheme="minorHAnsi"/>
                <w:bCs/>
                <w:i w:val="0"/>
                <w:szCs w:val="22"/>
              </w:rPr>
              <w:t xml:space="preserve">de stijging van </w:t>
            </w:r>
            <w:r w:rsidRPr="00292A59">
              <w:rPr>
                <w:rFonts w:asciiTheme="minorHAnsi" w:hAnsiTheme="minorHAnsi" w:cstheme="minorHAnsi"/>
                <w:bCs/>
                <w:i w:val="0"/>
                <w:szCs w:val="22"/>
              </w:rPr>
              <w:t>het bedrijfsresultaat (code 9901) 2022 in vergelijking met het gemiddelde van de vorige boekjaren (2019 - 2020 - 2021)</w:t>
            </w:r>
          </w:p>
          <w:p w14:paraId="08D030DA" w14:textId="16F72384" w:rsidR="00F91D8A" w:rsidRDefault="0068556E" w:rsidP="009C6D83">
            <w:pPr>
              <w:pStyle w:val="Titre3"/>
              <w:numPr>
                <w:ilvl w:val="0"/>
                <w:numId w:val="14"/>
              </w:numPr>
              <w:spacing w:after="0" w:afterAutospacing="0"/>
              <w:ind w:right="0"/>
              <w:jc w:val="both"/>
              <w:rPr>
                <w:rFonts w:asciiTheme="minorHAnsi" w:hAnsiTheme="minorHAnsi" w:cstheme="minorHAnsi"/>
                <w:bCs/>
                <w:i w:val="0"/>
                <w:szCs w:val="22"/>
              </w:rPr>
            </w:pPr>
            <w:r w:rsidRPr="00292A59">
              <w:rPr>
                <w:rFonts w:asciiTheme="minorHAnsi" w:hAnsiTheme="minorHAnsi" w:cstheme="minorHAnsi"/>
                <w:bCs/>
                <w:i w:val="0"/>
                <w:szCs w:val="22"/>
              </w:rPr>
              <w:t>+5%</w:t>
            </w:r>
            <w:r w:rsidR="00F91D8A">
              <w:rPr>
                <w:rFonts w:asciiTheme="minorHAnsi" w:hAnsiTheme="minorHAnsi" w:cstheme="minorHAnsi"/>
                <w:bCs/>
                <w:i w:val="0"/>
                <w:szCs w:val="22"/>
              </w:rPr>
              <w:t xml:space="preserve">: </w:t>
            </w:r>
          </w:p>
          <w:p w14:paraId="281C0FE5" w14:textId="19C4B47B" w:rsidR="00F91D8A" w:rsidRDefault="00C97A83" w:rsidP="009C6D83">
            <w:pPr>
              <w:pStyle w:val="Titre3"/>
              <w:numPr>
                <w:ilvl w:val="1"/>
                <w:numId w:val="14"/>
              </w:numPr>
              <w:spacing w:after="0" w:afterAutospacing="0"/>
              <w:ind w:right="0"/>
              <w:jc w:val="both"/>
              <w:rPr>
                <w:rFonts w:asciiTheme="minorHAnsi" w:hAnsiTheme="minorHAnsi" w:cstheme="minorHAnsi"/>
                <w:bCs/>
                <w:i w:val="0"/>
                <w:szCs w:val="22"/>
              </w:rPr>
            </w:pPr>
            <w:r w:rsidRPr="00292A59">
              <w:rPr>
                <w:rFonts w:asciiTheme="minorHAnsi" w:hAnsiTheme="minorHAnsi" w:cstheme="minorHAnsi"/>
                <w:bCs/>
                <w:i w:val="0"/>
                <w:szCs w:val="22"/>
              </w:rPr>
              <w:t>Non</w:t>
            </w:r>
            <w:r w:rsidR="0068556E" w:rsidRPr="00292A59">
              <w:rPr>
                <w:rFonts w:asciiTheme="minorHAnsi" w:hAnsiTheme="minorHAnsi" w:cstheme="minorHAnsi"/>
                <w:bCs/>
                <w:i w:val="0"/>
                <w:szCs w:val="22"/>
              </w:rPr>
              <w:t xml:space="preserve">-food en </w:t>
            </w:r>
            <w:r w:rsidR="00F91D8A">
              <w:rPr>
                <w:rFonts w:asciiTheme="minorHAnsi" w:hAnsiTheme="minorHAnsi" w:cstheme="minorHAnsi"/>
                <w:bCs/>
                <w:i w:val="0"/>
                <w:szCs w:val="22"/>
              </w:rPr>
              <w:t xml:space="preserve">food </w:t>
            </w:r>
            <w:r w:rsidR="0068556E" w:rsidRPr="00292A59">
              <w:rPr>
                <w:rFonts w:asciiTheme="minorHAnsi" w:hAnsiTheme="minorHAnsi" w:cstheme="minorHAnsi"/>
                <w:bCs/>
                <w:i w:val="0"/>
                <w:szCs w:val="22"/>
              </w:rPr>
              <w:t>speciaalzaken: 75</w:t>
            </w:r>
            <w:r w:rsidR="00F91D8A">
              <w:rPr>
                <w:rFonts w:asciiTheme="minorHAnsi" w:hAnsiTheme="minorHAnsi" w:cstheme="minorHAnsi"/>
                <w:bCs/>
                <w:i w:val="0"/>
                <w:szCs w:val="22"/>
              </w:rPr>
              <w:t>€</w:t>
            </w:r>
            <w:r w:rsidR="0068556E" w:rsidRPr="00292A59">
              <w:rPr>
                <w:rFonts w:asciiTheme="minorHAnsi" w:hAnsiTheme="minorHAnsi" w:cstheme="minorHAnsi"/>
                <w:bCs/>
                <w:i w:val="0"/>
                <w:szCs w:val="22"/>
              </w:rPr>
              <w:t xml:space="preserve"> </w:t>
            </w:r>
          </w:p>
          <w:p w14:paraId="70A8FD49" w14:textId="4A765E5A" w:rsidR="0068556E" w:rsidRPr="00292A59" w:rsidRDefault="00C97A83" w:rsidP="009C6D83">
            <w:pPr>
              <w:pStyle w:val="Titre3"/>
              <w:numPr>
                <w:ilvl w:val="1"/>
                <w:numId w:val="14"/>
              </w:numPr>
              <w:spacing w:after="0" w:afterAutospacing="0"/>
              <w:ind w:right="0"/>
              <w:jc w:val="both"/>
              <w:rPr>
                <w:rFonts w:asciiTheme="minorHAnsi" w:hAnsiTheme="minorHAnsi" w:cstheme="minorHAnsi"/>
                <w:bCs/>
                <w:i w:val="0"/>
                <w:szCs w:val="22"/>
              </w:rPr>
            </w:pPr>
            <w:r>
              <w:rPr>
                <w:rFonts w:asciiTheme="minorHAnsi" w:hAnsiTheme="minorHAnsi" w:cstheme="minorHAnsi"/>
                <w:bCs/>
                <w:i w:val="0"/>
                <w:szCs w:val="22"/>
              </w:rPr>
              <w:t>Supermarkten:</w:t>
            </w:r>
            <w:r w:rsidR="00F91D8A">
              <w:rPr>
                <w:rFonts w:asciiTheme="minorHAnsi" w:hAnsiTheme="minorHAnsi" w:cstheme="minorHAnsi"/>
                <w:bCs/>
                <w:i w:val="0"/>
                <w:szCs w:val="22"/>
              </w:rPr>
              <w:t xml:space="preserve"> 150€</w:t>
            </w:r>
          </w:p>
          <w:p w14:paraId="0F97397E" w14:textId="556BDA19" w:rsidR="00F91D8A" w:rsidRPr="00F91D8A" w:rsidRDefault="0068556E" w:rsidP="009C6D83">
            <w:pPr>
              <w:pStyle w:val="Titre3"/>
              <w:numPr>
                <w:ilvl w:val="0"/>
                <w:numId w:val="14"/>
              </w:numPr>
              <w:spacing w:after="0" w:afterAutospacing="0"/>
              <w:ind w:right="0"/>
              <w:jc w:val="both"/>
              <w:rPr>
                <w:rFonts w:asciiTheme="minorHAnsi" w:hAnsiTheme="minorHAnsi" w:cstheme="minorHAnsi"/>
                <w:b/>
                <w:i w:val="0"/>
                <w:szCs w:val="22"/>
              </w:rPr>
            </w:pPr>
            <w:r w:rsidRPr="00292A59">
              <w:rPr>
                <w:rFonts w:asciiTheme="minorHAnsi" w:hAnsiTheme="minorHAnsi" w:cstheme="minorHAnsi"/>
                <w:bCs/>
                <w:i w:val="0"/>
                <w:szCs w:val="22"/>
              </w:rPr>
              <w:t>+25%</w:t>
            </w:r>
            <w:r w:rsidR="00F91D8A">
              <w:rPr>
                <w:rFonts w:asciiTheme="minorHAnsi" w:hAnsiTheme="minorHAnsi" w:cstheme="minorHAnsi"/>
                <w:bCs/>
                <w:i w:val="0"/>
                <w:szCs w:val="22"/>
              </w:rPr>
              <w:t xml:space="preserve">: </w:t>
            </w:r>
          </w:p>
          <w:p w14:paraId="0F224F10" w14:textId="09EDE4A5" w:rsidR="00F91D8A" w:rsidRPr="00F91D8A" w:rsidRDefault="00C97A83" w:rsidP="009C6D83">
            <w:pPr>
              <w:pStyle w:val="Titre3"/>
              <w:numPr>
                <w:ilvl w:val="1"/>
                <w:numId w:val="14"/>
              </w:numPr>
              <w:spacing w:after="0" w:afterAutospacing="0"/>
              <w:ind w:right="0"/>
              <w:jc w:val="both"/>
              <w:rPr>
                <w:rFonts w:asciiTheme="minorHAnsi" w:hAnsiTheme="minorHAnsi" w:cstheme="minorHAnsi"/>
                <w:b/>
                <w:i w:val="0"/>
                <w:szCs w:val="22"/>
              </w:rPr>
            </w:pPr>
            <w:r w:rsidRPr="00292A59">
              <w:rPr>
                <w:rFonts w:asciiTheme="minorHAnsi" w:hAnsiTheme="minorHAnsi" w:cstheme="minorHAnsi"/>
                <w:bCs/>
                <w:i w:val="0"/>
                <w:szCs w:val="22"/>
              </w:rPr>
              <w:t>Non</w:t>
            </w:r>
            <w:r w:rsidR="0068556E" w:rsidRPr="00292A59">
              <w:rPr>
                <w:rFonts w:asciiTheme="minorHAnsi" w:hAnsiTheme="minorHAnsi" w:cstheme="minorHAnsi"/>
                <w:bCs/>
                <w:i w:val="0"/>
                <w:szCs w:val="22"/>
              </w:rPr>
              <w:t>-food en food speciaalzaken: 150</w:t>
            </w:r>
            <w:r w:rsidR="00F91D8A">
              <w:rPr>
                <w:rFonts w:asciiTheme="minorHAnsi" w:hAnsiTheme="minorHAnsi" w:cstheme="minorHAnsi"/>
                <w:bCs/>
                <w:i w:val="0"/>
                <w:szCs w:val="22"/>
              </w:rPr>
              <w:t>€</w:t>
            </w:r>
            <w:r w:rsidR="0068556E" w:rsidRPr="00292A59">
              <w:rPr>
                <w:rFonts w:asciiTheme="minorHAnsi" w:hAnsiTheme="minorHAnsi" w:cstheme="minorHAnsi"/>
                <w:bCs/>
                <w:i w:val="0"/>
                <w:szCs w:val="22"/>
              </w:rPr>
              <w:t xml:space="preserve"> </w:t>
            </w:r>
          </w:p>
          <w:p w14:paraId="1E09BE3A" w14:textId="209CA305" w:rsidR="0068556E" w:rsidRPr="00292A59" w:rsidRDefault="00C97A83" w:rsidP="009C6D83">
            <w:pPr>
              <w:pStyle w:val="Titre3"/>
              <w:numPr>
                <w:ilvl w:val="1"/>
                <w:numId w:val="14"/>
              </w:numPr>
              <w:spacing w:after="0" w:afterAutospacing="0"/>
              <w:ind w:right="0"/>
              <w:jc w:val="both"/>
              <w:rPr>
                <w:rFonts w:asciiTheme="minorHAnsi" w:hAnsiTheme="minorHAnsi" w:cstheme="minorHAnsi"/>
                <w:b/>
                <w:i w:val="0"/>
                <w:szCs w:val="22"/>
              </w:rPr>
            </w:pPr>
            <w:r>
              <w:rPr>
                <w:rFonts w:asciiTheme="minorHAnsi" w:hAnsiTheme="minorHAnsi" w:cstheme="minorHAnsi"/>
                <w:bCs/>
                <w:i w:val="0"/>
                <w:szCs w:val="22"/>
              </w:rPr>
              <w:t>Supermarkten</w:t>
            </w:r>
            <w:r w:rsidR="00F91D8A">
              <w:rPr>
                <w:rFonts w:asciiTheme="minorHAnsi" w:hAnsiTheme="minorHAnsi" w:cstheme="minorHAnsi"/>
                <w:bCs/>
                <w:i w:val="0"/>
                <w:szCs w:val="22"/>
              </w:rPr>
              <w:t xml:space="preserve">: </w:t>
            </w:r>
            <w:r w:rsidR="0068556E" w:rsidRPr="00292A59">
              <w:rPr>
                <w:rFonts w:asciiTheme="minorHAnsi" w:hAnsiTheme="minorHAnsi" w:cstheme="minorHAnsi"/>
                <w:bCs/>
                <w:i w:val="0"/>
                <w:szCs w:val="22"/>
              </w:rPr>
              <w:t>250</w:t>
            </w:r>
            <w:r w:rsidR="00F91D8A">
              <w:rPr>
                <w:rFonts w:asciiTheme="minorHAnsi" w:hAnsiTheme="minorHAnsi" w:cstheme="minorHAnsi"/>
                <w:bCs/>
                <w:i w:val="0"/>
                <w:szCs w:val="22"/>
              </w:rPr>
              <w:t>€</w:t>
            </w:r>
          </w:p>
          <w:p w14:paraId="4FC39B75" w14:textId="5ED53F54" w:rsidR="0068556E" w:rsidRDefault="0068556E" w:rsidP="009C6D83">
            <w:pPr>
              <w:spacing w:before="0" w:after="0" w:afterAutospacing="0"/>
              <w:jc w:val="both"/>
              <w:rPr>
                <w:rFonts w:asciiTheme="minorHAnsi" w:hAnsiTheme="minorHAnsi" w:cstheme="minorHAnsi"/>
                <w:szCs w:val="22"/>
              </w:rPr>
            </w:pPr>
          </w:p>
          <w:p w14:paraId="35EB754C" w14:textId="5772668D" w:rsidR="00A639F1" w:rsidRDefault="00A639F1" w:rsidP="009C6D83">
            <w:pPr>
              <w:spacing w:before="0" w:after="0" w:afterAutospacing="0"/>
              <w:jc w:val="both"/>
              <w:rPr>
                <w:rFonts w:asciiTheme="minorHAnsi" w:hAnsiTheme="minorHAnsi" w:cstheme="minorHAnsi"/>
                <w:szCs w:val="22"/>
              </w:rPr>
            </w:pPr>
            <w:r>
              <w:rPr>
                <w:rFonts w:asciiTheme="minorHAnsi" w:hAnsiTheme="minorHAnsi" w:cstheme="minorHAnsi"/>
                <w:szCs w:val="22"/>
              </w:rPr>
              <w:t xml:space="preserve">Met 2022, wordt verwezen naar het boekjaar waarvan de meeste maanden zich in 2022 bevinden. Wanneer het boekjaar afsluit op 30 juni, wordt verwezen naar het boekjaar dat afsluit in 2022. </w:t>
            </w:r>
          </w:p>
          <w:p w14:paraId="02A18ECC" w14:textId="0AEFE03C" w:rsidR="00A639F1" w:rsidRDefault="00A639F1" w:rsidP="009C6D83">
            <w:pPr>
              <w:spacing w:before="0" w:after="0" w:afterAutospacing="0"/>
              <w:jc w:val="both"/>
              <w:rPr>
                <w:rFonts w:asciiTheme="minorHAnsi" w:hAnsiTheme="minorHAnsi" w:cstheme="minorHAnsi"/>
                <w:szCs w:val="22"/>
              </w:rPr>
            </w:pPr>
          </w:p>
          <w:p w14:paraId="4581C6AF" w14:textId="5B831DB9" w:rsidR="001838C1" w:rsidRPr="009C6D83" w:rsidRDefault="00923ADA"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Bedrijven die niet bestonden gedurende de hele periode 2019-2021 zullen het gemiddelde berekenen over de boekjaren waarin ze wel bestonden.</w:t>
            </w:r>
          </w:p>
          <w:p w14:paraId="62D0FE8E" w14:textId="2B12BD6D" w:rsidR="001838C1" w:rsidRPr="009C6D83" w:rsidRDefault="001838C1" w:rsidP="009C6D83">
            <w:pPr>
              <w:spacing w:before="0" w:after="0" w:afterAutospacing="0"/>
              <w:jc w:val="both"/>
              <w:rPr>
                <w:rFonts w:asciiTheme="minorHAnsi" w:hAnsiTheme="minorHAnsi" w:cstheme="minorHAnsi"/>
                <w:szCs w:val="22"/>
              </w:rPr>
            </w:pPr>
          </w:p>
          <w:p w14:paraId="4909DDBF" w14:textId="6988801E" w:rsidR="00923ADA" w:rsidRPr="009C6D83" w:rsidRDefault="00923ADA" w:rsidP="009C6D83">
            <w:pPr>
              <w:spacing w:before="0" w:after="0" w:afterAutospacing="0"/>
              <w:jc w:val="both"/>
              <w:rPr>
                <w:rFonts w:asciiTheme="minorHAnsi" w:hAnsiTheme="minorHAnsi" w:cstheme="minorHAnsi"/>
                <w:b/>
                <w:bCs/>
                <w:szCs w:val="22"/>
              </w:rPr>
            </w:pPr>
            <w:r w:rsidRPr="009C6D83">
              <w:rPr>
                <w:rFonts w:asciiTheme="minorHAnsi" w:hAnsiTheme="minorHAnsi" w:cstheme="minorHAnsi"/>
                <w:b/>
                <w:bCs/>
                <w:szCs w:val="22"/>
              </w:rPr>
              <w:t>Toekenningsvoorwaarden</w:t>
            </w:r>
          </w:p>
          <w:p w14:paraId="59E406EC" w14:textId="1EB00C35"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 xml:space="preserve">De premie wordt toegekend aan werknemers </w:t>
            </w:r>
            <w:proofErr w:type="gramStart"/>
            <w:r w:rsidRPr="009C6D83">
              <w:rPr>
                <w:rFonts w:asciiTheme="minorHAnsi" w:hAnsiTheme="minorHAnsi" w:cstheme="minorHAnsi"/>
                <w:szCs w:val="22"/>
              </w:rPr>
              <w:t>die :</w:t>
            </w:r>
            <w:proofErr w:type="gramEnd"/>
          </w:p>
          <w:p w14:paraId="1BEA608E" w14:textId="77777777"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 xml:space="preserve">- op 31 oktober 2023 en op het moment van uitbetaling van de premie een arbeidsovereenkomst hebben, </w:t>
            </w:r>
          </w:p>
          <w:p w14:paraId="0986F2BE" w14:textId="77777777"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 xml:space="preserve">- naar rato van de effectieve of gelijkgestelde arbeidsprestaties tussen 1 november 2022 en 31 oktober 2023 (overeenkomstig het Koninklijk Besluit van 30 maart 1967 </w:t>
            </w:r>
            <w:proofErr w:type="gramStart"/>
            <w:r w:rsidRPr="009C6D83">
              <w:rPr>
                <w:rFonts w:asciiTheme="minorHAnsi" w:hAnsiTheme="minorHAnsi" w:cstheme="minorHAnsi"/>
                <w:szCs w:val="22"/>
              </w:rPr>
              <w:t>betreffende</w:t>
            </w:r>
            <w:proofErr w:type="gramEnd"/>
            <w:r w:rsidRPr="009C6D83">
              <w:rPr>
                <w:rFonts w:asciiTheme="minorHAnsi" w:hAnsiTheme="minorHAnsi" w:cstheme="minorHAnsi"/>
                <w:szCs w:val="22"/>
              </w:rPr>
              <w:t xml:space="preserve"> de jaarlijkse vakantie).  </w:t>
            </w:r>
          </w:p>
          <w:p w14:paraId="191B1D9F" w14:textId="0E655522"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 xml:space="preserve">- Aan de deeltijdse werknemers naar rato van hun effectieve gepresteerde en gelijkgestelde uren tussen 1 november 2022 en 31 oktober 2023. </w:t>
            </w:r>
          </w:p>
          <w:p w14:paraId="404C11E3" w14:textId="77777777" w:rsidR="00A639F1" w:rsidRPr="009C6D83" w:rsidRDefault="00A639F1" w:rsidP="009C6D83">
            <w:pPr>
              <w:spacing w:before="0" w:after="0" w:afterAutospacing="0"/>
              <w:jc w:val="both"/>
              <w:rPr>
                <w:rFonts w:asciiTheme="minorHAnsi" w:hAnsiTheme="minorHAnsi" w:cstheme="minorHAnsi"/>
                <w:szCs w:val="22"/>
              </w:rPr>
            </w:pPr>
          </w:p>
          <w:p w14:paraId="415702FD" w14:textId="63318D9D"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Deze eenmalige premie wordt tegelijk met de eindejaarspremie uitbetaald, maar wordt niet meegeteld bij de berekening ervan.</w:t>
            </w:r>
          </w:p>
          <w:p w14:paraId="421A6F5D" w14:textId="77777777" w:rsidR="00A639F1" w:rsidRPr="009C6D83" w:rsidRDefault="00A639F1" w:rsidP="009C6D83">
            <w:pPr>
              <w:spacing w:before="0" w:after="0" w:afterAutospacing="0"/>
              <w:jc w:val="both"/>
              <w:rPr>
                <w:rFonts w:asciiTheme="minorHAnsi" w:hAnsiTheme="minorHAnsi" w:cstheme="minorHAnsi"/>
                <w:szCs w:val="22"/>
              </w:rPr>
            </w:pPr>
          </w:p>
          <w:p w14:paraId="44F93E6D" w14:textId="5AE0C80B" w:rsidR="00A639F1" w:rsidRPr="009C6D83" w:rsidRDefault="00A639F1" w:rsidP="009C6D83">
            <w:pPr>
              <w:spacing w:before="0" w:after="0" w:afterAutospacing="0"/>
              <w:jc w:val="both"/>
              <w:rPr>
                <w:rFonts w:asciiTheme="minorHAnsi" w:hAnsiTheme="minorHAnsi" w:cstheme="minorHAnsi"/>
                <w:szCs w:val="22"/>
              </w:rPr>
            </w:pPr>
            <w:r w:rsidRPr="009C6D83">
              <w:rPr>
                <w:rFonts w:asciiTheme="minorHAnsi" w:hAnsiTheme="minorHAnsi" w:cstheme="minorHAnsi"/>
                <w:szCs w:val="22"/>
              </w:rPr>
              <w:t>De werkgevers zullen de koopkrachtpremie in elektronische of papieren vorm toekennen volgens de concrete modaliteiten voorzien in deze overeenkomst.</w:t>
            </w:r>
          </w:p>
          <w:p w14:paraId="33497C78" w14:textId="773DA7DA" w:rsidR="00A639F1" w:rsidRDefault="00A639F1" w:rsidP="009C6D83">
            <w:pPr>
              <w:spacing w:before="0" w:after="0" w:afterAutospacing="0"/>
              <w:jc w:val="both"/>
              <w:rPr>
                <w:rFonts w:asciiTheme="minorHAnsi" w:hAnsiTheme="minorHAnsi" w:cstheme="minorHAnsi"/>
                <w:szCs w:val="22"/>
              </w:rPr>
            </w:pPr>
          </w:p>
          <w:p w14:paraId="2274102D" w14:textId="599D43B2" w:rsidR="00D61A20" w:rsidRPr="00D61A20" w:rsidRDefault="00923ADA" w:rsidP="00D61A20">
            <w:pPr>
              <w:spacing w:before="0" w:after="0" w:afterAutospacing="0"/>
              <w:jc w:val="both"/>
              <w:rPr>
                <w:rFonts w:asciiTheme="minorHAnsi" w:hAnsiTheme="minorHAnsi" w:cstheme="minorHAnsi"/>
                <w:szCs w:val="22"/>
              </w:rPr>
            </w:pPr>
            <w:r w:rsidRPr="00923ADA">
              <w:rPr>
                <w:rFonts w:asciiTheme="minorHAnsi" w:hAnsiTheme="minorHAnsi" w:cstheme="minorHAnsi"/>
                <w:szCs w:val="22"/>
              </w:rPr>
              <w:t xml:space="preserve">De sociale partners zijn het erover eens dat het </w:t>
            </w:r>
            <w:r>
              <w:rPr>
                <w:rFonts w:asciiTheme="minorHAnsi" w:hAnsiTheme="minorHAnsi" w:cstheme="minorHAnsi"/>
                <w:szCs w:val="22"/>
              </w:rPr>
              <w:t>paritair</w:t>
            </w:r>
            <w:r w:rsidRPr="00923ADA">
              <w:rPr>
                <w:rFonts w:asciiTheme="minorHAnsi" w:hAnsiTheme="minorHAnsi" w:cstheme="minorHAnsi"/>
                <w:szCs w:val="22"/>
              </w:rPr>
              <w:t xml:space="preserve"> comité een mededeling kan organiseren over de toekenning van de koopkrachttegemoetkoming.</w:t>
            </w:r>
          </w:p>
          <w:p w14:paraId="7ACA875F" w14:textId="77777777" w:rsidR="00AB16AE" w:rsidRPr="009C6D83" w:rsidRDefault="00AB16AE" w:rsidP="009C6D83">
            <w:pPr>
              <w:spacing w:before="0" w:after="0" w:afterAutospacing="0"/>
            </w:pPr>
          </w:p>
          <w:p w14:paraId="72A70B43" w14:textId="3085DB71" w:rsidR="00A85F2D" w:rsidRPr="00292A59" w:rsidRDefault="00A85F2D"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t>4. Eindejaarspremie</w:t>
            </w:r>
          </w:p>
          <w:p w14:paraId="03ED401A" w14:textId="284463ED" w:rsidR="009C6D83" w:rsidRPr="009C6D83" w:rsidRDefault="00A85F2D"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Vanaf 2024</w:t>
            </w:r>
            <w:r w:rsidR="009C6D83">
              <w:rPr>
                <w:rFonts w:asciiTheme="minorHAnsi" w:hAnsiTheme="minorHAnsi" w:cstheme="minorHAnsi"/>
                <w:szCs w:val="22"/>
              </w:rPr>
              <w:t>, het</w:t>
            </w:r>
            <w:r w:rsidR="009C6D83" w:rsidRPr="009C6D83">
              <w:rPr>
                <w:rFonts w:asciiTheme="minorHAnsi" w:hAnsiTheme="minorHAnsi" w:cstheme="minorHAnsi"/>
                <w:szCs w:val="22"/>
              </w:rPr>
              <w:t xml:space="preserve"> artikel 5 van de collectieve arbeidsovereenkomst van 20 januari 2022 (172548/CO/201) </w:t>
            </w:r>
            <w:proofErr w:type="gramStart"/>
            <w:r w:rsidR="009C6D83" w:rsidRPr="009C6D83">
              <w:rPr>
                <w:rFonts w:asciiTheme="minorHAnsi" w:hAnsiTheme="minorHAnsi" w:cstheme="minorHAnsi"/>
                <w:szCs w:val="22"/>
              </w:rPr>
              <w:lastRenderedPageBreak/>
              <w:t>betreffende</w:t>
            </w:r>
            <w:proofErr w:type="gramEnd"/>
            <w:r w:rsidR="009C6D83" w:rsidRPr="009C6D83">
              <w:rPr>
                <w:rFonts w:asciiTheme="minorHAnsi" w:hAnsiTheme="minorHAnsi" w:cstheme="minorHAnsi"/>
                <w:szCs w:val="22"/>
              </w:rPr>
              <w:t xml:space="preserve"> de eindejaarspremie wordt vervang</w:t>
            </w:r>
            <w:r w:rsidR="009C6D83">
              <w:rPr>
                <w:rFonts w:asciiTheme="minorHAnsi" w:hAnsiTheme="minorHAnsi" w:cstheme="minorHAnsi"/>
                <w:szCs w:val="22"/>
              </w:rPr>
              <w:t>en</w:t>
            </w:r>
            <w:r w:rsidR="009C6D83" w:rsidRPr="009C6D83">
              <w:rPr>
                <w:rFonts w:asciiTheme="minorHAnsi" w:hAnsiTheme="minorHAnsi" w:cstheme="minorHAnsi"/>
                <w:szCs w:val="22"/>
              </w:rPr>
              <w:t xml:space="preserve"> door de volgende tekst:</w:t>
            </w:r>
          </w:p>
          <w:p w14:paraId="3FC0C7FD" w14:textId="77777777" w:rsidR="009C6D83" w:rsidRPr="009C6D83" w:rsidRDefault="009C6D83" w:rsidP="009C6D83">
            <w:pPr>
              <w:spacing w:before="0" w:after="0" w:afterAutospacing="0"/>
              <w:jc w:val="both"/>
              <w:rPr>
                <w:rFonts w:asciiTheme="minorHAnsi" w:hAnsiTheme="minorHAnsi" w:cstheme="minorHAnsi"/>
                <w:szCs w:val="22"/>
              </w:rPr>
            </w:pPr>
          </w:p>
          <w:p w14:paraId="721EF7E5" w14:textId="61C504A2" w:rsidR="009C6D83" w:rsidRDefault="009C6D83" w:rsidP="009C6D83">
            <w:pPr>
              <w:spacing w:before="0" w:after="0" w:afterAutospacing="0"/>
              <w:ind w:left="720"/>
              <w:jc w:val="both"/>
              <w:rPr>
                <w:rFonts w:asciiTheme="minorHAnsi" w:hAnsiTheme="minorHAnsi" w:cstheme="minorHAnsi"/>
                <w:szCs w:val="22"/>
              </w:rPr>
            </w:pPr>
            <w:r w:rsidRPr="009C6D83">
              <w:rPr>
                <w:rFonts w:asciiTheme="minorHAnsi" w:hAnsiTheme="minorHAnsi" w:cstheme="minorHAnsi"/>
                <w:szCs w:val="22"/>
              </w:rPr>
              <w:t>Artikel 5 - Het bedrag van de eindejaarspremie mag niet worden verminderd voor afwezigheden wegens het opnemen van vakantieverlof, wettelijke feestdagen, in de collectieve arbeidsovereenkomst bepaalde dagen van inactiviteit, arbeidstijdverkorting, verlof om dwingende redenen, beroepsziekte of arbeidsongeval.</w:t>
            </w:r>
          </w:p>
          <w:p w14:paraId="5900482E" w14:textId="77777777" w:rsidR="009C6D83" w:rsidRDefault="009C6D83" w:rsidP="009C6D83">
            <w:pPr>
              <w:spacing w:before="0" w:after="0" w:afterAutospacing="0"/>
              <w:ind w:left="720"/>
              <w:jc w:val="both"/>
              <w:rPr>
                <w:rFonts w:asciiTheme="minorHAnsi" w:hAnsiTheme="minorHAnsi" w:cstheme="minorHAnsi"/>
                <w:szCs w:val="22"/>
              </w:rPr>
            </w:pPr>
          </w:p>
          <w:p w14:paraId="316BF828" w14:textId="79F72C99" w:rsidR="009C6D83" w:rsidRDefault="009C6D83" w:rsidP="009C6D83">
            <w:pPr>
              <w:spacing w:before="0" w:after="0" w:afterAutospacing="0"/>
              <w:ind w:left="720"/>
              <w:jc w:val="both"/>
              <w:rPr>
                <w:rFonts w:asciiTheme="minorHAnsi" w:hAnsiTheme="minorHAnsi" w:cstheme="minorHAnsi"/>
                <w:szCs w:val="22"/>
              </w:rPr>
            </w:pPr>
            <w:r w:rsidRPr="009C6D83">
              <w:rPr>
                <w:rFonts w:asciiTheme="minorHAnsi" w:hAnsiTheme="minorHAnsi" w:cstheme="minorHAnsi"/>
                <w:szCs w:val="22"/>
              </w:rPr>
              <w:t>Voor een maximum van 60 dagen per jaar afwezigheid wegens ziekte of ongeval, bevallingsverlof of vaderschapsverlof voor een werknemer wiens vrouw geen bevallingsverlof kan opnemen, wordt het bedrag van de eindejaarspremie evenmin verlaagd.</w:t>
            </w:r>
          </w:p>
          <w:p w14:paraId="1BBD9A54" w14:textId="77777777" w:rsidR="009C6D83" w:rsidRDefault="009C6D83" w:rsidP="009C6D83">
            <w:pPr>
              <w:spacing w:before="0" w:after="0" w:afterAutospacing="0"/>
              <w:jc w:val="both"/>
              <w:rPr>
                <w:rFonts w:asciiTheme="minorHAnsi" w:hAnsiTheme="minorHAnsi" w:cstheme="minorHAnsi"/>
                <w:szCs w:val="22"/>
              </w:rPr>
            </w:pPr>
          </w:p>
          <w:p w14:paraId="0754A53D" w14:textId="77777777" w:rsidR="00A85F2D" w:rsidRPr="00292A59" w:rsidRDefault="00A85F2D"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t>5. Opleiding</w:t>
            </w:r>
          </w:p>
          <w:p w14:paraId="6C5C2D73" w14:textId="085F2B38" w:rsidR="00A85F2D" w:rsidRDefault="00A85F2D"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 xml:space="preserve">Binnen </w:t>
            </w:r>
            <w:r w:rsidRPr="00BA01B8">
              <w:rPr>
                <w:rFonts w:asciiTheme="minorHAnsi" w:hAnsiTheme="minorHAnsi" w:cstheme="minorHAnsi"/>
                <w:szCs w:val="22"/>
              </w:rPr>
              <w:t xml:space="preserve">de </w:t>
            </w:r>
            <w:r w:rsidR="00BA01B8" w:rsidRPr="00BA01B8">
              <w:rPr>
                <w:rFonts w:asciiTheme="minorHAnsi" w:hAnsiTheme="minorHAnsi" w:cstheme="minorHAnsi"/>
                <w:szCs w:val="22"/>
              </w:rPr>
              <w:t xml:space="preserve">het </w:t>
            </w:r>
            <w:r w:rsidRPr="00BA01B8">
              <w:rPr>
                <w:rFonts w:asciiTheme="minorHAnsi" w:hAnsiTheme="minorHAnsi" w:cstheme="minorHAnsi"/>
                <w:szCs w:val="22"/>
              </w:rPr>
              <w:t xml:space="preserve">paritair </w:t>
            </w:r>
            <w:r w:rsidR="00BA01B8" w:rsidRPr="00BA01B8">
              <w:rPr>
                <w:rFonts w:asciiTheme="minorHAnsi" w:hAnsiTheme="minorHAnsi" w:cstheme="minorHAnsi"/>
                <w:szCs w:val="22"/>
              </w:rPr>
              <w:t>comité</w:t>
            </w:r>
            <w:r w:rsidRPr="00BA01B8">
              <w:rPr>
                <w:rFonts w:asciiTheme="minorHAnsi" w:hAnsiTheme="minorHAnsi" w:cstheme="minorHAnsi"/>
                <w:szCs w:val="22"/>
              </w:rPr>
              <w:t xml:space="preserve"> wordt een stuurgroep "opleiding" </w:t>
            </w:r>
            <w:r w:rsidRPr="00292A59">
              <w:rPr>
                <w:rFonts w:asciiTheme="minorHAnsi" w:hAnsiTheme="minorHAnsi" w:cstheme="minorHAnsi"/>
                <w:szCs w:val="22"/>
              </w:rPr>
              <w:t>opgericht om de opleiding in de sector te volgen.</w:t>
            </w:r>
          </w:p>
          <w:p w14:paraId="27487F41" w14:textId="77777777" w:rsidR="00A85F2D" w:rsidRPr="00A639F1" w:rsidRDefault="00A85F2D" w:rsidP="009C6D83">
            <w:pPr>
              <w:spacing w:before="0" w:after="0" w:afterAutospacing="0"/>
              <w:jc w:val="both"/>
              <w:rPr>
                <w:rFonts w:asciiTheme="minorHAnsi" w:hAnsiTheme="minorHAnsi" w:cstheme="minorHAnsi"/>
                <w:szCs w:val="22"/>
              </w:rPr>
            </w:pPr>
          </w:p>
          <w:p w14:paraId="23469870" w14:textId="40B04D3F" w:rsidR="00A85F2D" w:rsidRPr="00292A59" w:rsidRDefault="00A85F2D"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De sociale partners bevelen aan om de verhouding tussen "formele" en "informele" opleidingen in evenwicht te houden, en de voorkeur te geven aan gecertificeerde opleidingen (certificering kan intern in het bedrijf zijn).</w:t>
            </w:r>
          </w:p>
          <w:p w14:paraId="6652C086" w14:textId="77777777" w:rsidR="00A85F2D" w:rsidRPr="00292A59" w:rsidRDefault="00A85F2D" w:rsidP="009C6D83">
            <w:pPr>
              <w:spacing w:before="0" w:after="0" w:afterAutospacing="0"/>
              <w:jc w:val="both"/>
              <w:rPr>
                <w:rFonts w:asciiTheme="minorHAnsi" w:hAnsiTheme="minorHAnsi" w:cstheme="minorHAnsi"/>
                <w:szCs w:val="22"/>
              </w:rPr>
            </w:pPr>
          </w:p>
          <w:p w14:paraId="01C6F105" w14:textId="344926D2" w:rsidR="00A85F2D" w:rsidRPr="00292A59" w:rsidRDefault="00A85F2D"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Als de werkgever niet voldoende opleidingsdagen over het jaar aanbiedt (ten opzichte van het groeipad), wordt het ontbrekende aantal dagen overgedragen naar het volgende jaar".</w:t>
            </w:r>
          </w:p>
          <w:p w14:paraId="646B5C24" w14:textId="3A3112AC" w:rsidR="00A47EE0" w:rsidRDefault="00A47EE0" w:rsidP="009C6D83">
            <w:pPr>
              <w:spacing w:before="0" w:after="0" w:afterAutospacing="0"/>
              <w:jc w:val="both"/>
              <w:rPr>
                <w:rFonts w:asciiTheme="minorHAnsi" w:hAnsiTheme="minorHAnsi" w:cstheme="minorHAnsi"/>
                <w:szCs w:val="22"/>
              </w:rPr>
            </w:pPr>
          </w:p>
          <w:p w14:paraId="07A62E26" w14:textId="77777777" w:rsidR="00D61A20" w:rsidRPr="00292A59" w:rsidRDefault="00D61A20" w:rsidP="009C6D83">
            <w:pPr>
              <w:spacing w:before="0" w:after="0" w:afterAutospacing="0"/>
              <w:jc w:val="both"/>
              <w:rPr>
                <w:rFonts w:asciiTheme="minorHAnsi" w:hAnsiTheme="minorHAnsi" w:cstheme="minorHAnsi"/>
                <w:szCs w:val="22"/>
              </w:rPr>
            </w:pPr>
          </w:p>
          <w:p w14:paraId="7A75A545" w14:textId="0F25DA36" w:rsidR="00292A59" w:rsidRPr="00292A59" w:rsidRDefault="00292A59"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lastRenderedPageBreak/>
              <w:t xml:space="preserve">6. </w:t>
            </w:r>
            <w:r w:rsidR="00D61A20">
              <w:rPr>
                <w:rFonts w:asciiTheme="minorHAnsi" w:hAnsiTheme="minorHAnsi" w:cstheme="minorHAnsi"/>
                <w:b/>
                <w:bCs/>
                <w:szCs w:val="22"/>
              </w:rPr>
              <w:t>T</w:t>
            </w:r>
            <w:r w:rsidRPr="00292A59">
              <w:rPr>
                <w:rFonts w:asciiTheme="minorHAnsi" w:hAnsiTheme="minorHAnsi" w:cstheme="minorHAnsi"/>
                <w:b/>
                <w:bCs/>
                <w:szCs w:val="22"/>
              </w:rPr>
              <w:t>ijdskrediet</w:t>
            </w:r>
            <w:r w:rsidR="00BA01B8">
              <w:rPr>
                <w:rFonts w:asciiTheme="minorHAnsi" w:hAnsiTheme="minorHAnsi" w:cstheme="minorHAnsi"/>
                <w:b/>
                <w:bCs/>
                <w:szCs w:val="22"/>
              </w:rPr>
              <w:t>,</w:t>
            </w:r>
            <w:r w:rsidRPr="00292A59">
              <w:rPr>
                <w:rFonts w:asciiTheme="minorHAnsi" w:hAnsiTheme="minorHAnsi" w:cstheme="minorHAnsi"/>
                <w:b/>
                <w:bCs/>
                <w:szCs w:val="22"/>
              </w:rPr>
              <w:t xml:space="preserve"> </w:t>
            </w:r>
            <w:r w:rsidR="00BA01B8">
              <w:rPr>
                <w:rFonts w:asciiTheme="minorHAnsi" w:hAnsiTheme="minorHAnsi" w:cstheme="minorHAnsi"/>
                <w:b/>
                <w:bCs/>
                <w:szCs w:val="22"/>
              </w:rPr>
              <w:t xml:space="preserve">landingsbanen </w:t>
            </w:r>
            <w:r w:rsidRPr="00292A59">
              <w:rPr>
                <w:rFonts w:asciiTheme="minorHAnsi" w:hAnsiTheme="minorHAnsi" w:cstheme="minorHAnsi"/>
                <w:b/>
                <w:bCs/>
                <w:szCs w:val="22"/>
              </w:rPr>
              <w:t>en SWT</w:t>
            </w:r>
          </w:p>
          <w:p w14:paraId="0E524D84" w14:textId="7F0DE75C" w:rsidR="00292A59" w:rsidRDefault="00292A59"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 xml:space="preserve">Bestaande </w:t>
            </w:r>
            <w:proofErr w:type="spellStart"/>
            <w:r w:rsidRPr="00292A59">
              <w:rPr>
                <w:rFonts w:asciiTheme="minorHAnsi" w:hAnsiTheme="minorHAnsi" w:cstheme="minorHAnsi"/>
                <w:szCs w:val="22"/>
              </w:rPr>
              <w:t>CAO's</w:t>
            </w:r>
            <w:proofErr w:type="spellEnd"/>
            <w:r w:rsidRPr="00292A59">
              <w:rPr>
                <w:rFonts w:asciiTheme="minorHAnsi" w:hAnsiTheme="minorHAnsi" w:cstheme="minorHAnsi"/>
                <w:szCs w:val="22"/>
              </w:rPr>
              <w:t xml:space="preserve"> worden verlengd voor de duur van de overeenkomst.</w:t>
            </w:r>
          </w:p>
          <w:p w14:paraId="067487C4" w14:textId="77777777" w:rsidR="00292A59" w:rsidRPr="00292A59" w:rsidRDefault="00292A59" w:rsidP="009C6D83">
            <w:pPr>
              <w:spacing w:before="0" w:after="0" w:afterAutospacing="0"/>
              <w:jc w:val="both"/>
              <w:rPr>
                <w:rFonts w:asciiTheme="minorHAnsi" w:hAnsiTheme="minorHAnsi" w:cstheme="minorHAnsi"/>
                <w:szCs w:val="22"/>
              </w:rPr>
            </w:pPr>
          </w:p>
          <w:p w14:paraId="3F891044" w14:textId="77777777" w:rsidR="00292A59" w:rsidRPr="00292A59" w:rsidRDefault="00292A59"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t>7. Tweede pensioenpijler</w:t>
            </w:r>
          </w:p>
          <w:p w14:paraId="31542A63" w14:textId="0841E509" w:rsidR="00292A59" w:rsidRPr="00292A59" w:rsidRDefault="00292A59" w:rsidP="009C6D83">
            <w:pPr>
              <w:spacing w:before="0" w:after="0" w:afterAutospacing="0"/>
              <w:jc w:val="both"/>
              <w:rPr>
                <w:rFonts w:asciiTheme="minorHAnsi" w:hAnsiTheme="minorHAnsi" w:cstheme="minorHAnsi"/>
                <w:szCs w:val="22"/>
              </w:rPr>
            </w:pPr>
            <w:r w:rsidRPr="00292A59">
              <w:rPr>
                <w:rFonts w:asciiTheme="minorHAnsi" w:hAnsiTheme="minorHAnsi" w:cstheme="minorHAnsi"/>
                <w:szCs w:val="22"/>
              </w:rPr>
              <w:t>De sociale partners verbinden er zich toe de toekomstige evoluties van de regelgeving met betrekking tot de harmonisatie van de aanvullende pensioenen voor arbeiders en bedienden op te volgen en indien nodig op gepaste wijze tussen te komen. Indien nodig zullen experts bij de besprekingen betrokken worden.</w:t>
            </w:r>
          </w:p>
          <w:p w14:paraId="38EB84A9" w14:textId="348A3C5C" w:rsidR="007E2BDA" w:rsidRDefault="007E2BDA" w:rsidP="009C6D83">
            <w:pPr>
              <w:spacing w:before="0" w:after="0" w:afterAutospacing="0"/>
              <w:jc w:val="both"/>
              <w:rPr>
                <w:rFonts w:asciiTheme="minorHAnsi" w:hAnsiTheme="minorHAnsi" w:cstheme="minorHAnsi"/>
                <w:szCs w:val="22"/>
              </w:rPr>
            </w:pPr>
          </w:p>
          <w:p w14:paraId="56E8AD0E" w14:textId="4C77B69A" w:rsidR="000C2B70" w:rsidRPr="000C2B70" w:rsidRDefault="000C2B70" w:rsidP="000C2B70">
            <w:pPr>
              <w:spacing w:before="0" w:after="0" w:afterAutospacing="0"/>
              <w:jc w:val="both"/>
              <w:rPr>
                <w:rFonts w:asciiTheme="minorHAnsi" w:hAnsiTheme="minorHAnsi" w:cstheme="minorHAnsi"/>
                <w:b/>
                <w:bCs/>
                <w:szCs w:val="22"/>
              </w:rPr>
            </w:pPr>
            <w:r w:rsidRPr="000C2B70">
              <w:rPr>
                <w:rFonts w:asciiTheme="minorHAnsi" w:hAnsiTheme="minorHAnsi" w:cstheme="minorHAnsi"/>
                <w:b/>
                <w:bCs/>
                <w:szCs w:val="22"/>
              </w:rPr>
              <w:t>8. Agressiviteit op de werkvloer</w:t>
            </w:r>
          </w:p>
          <w:p w14:paraId="3743E301" w14:textId="6FB45B27" w:rsidR="000C2B70" w:rsidRPr="000C2B70" w:rsidRDefault="000C2B70" w:rsidP="000C2B70">
            <w:pPr>
              <w:spacing w:before="0" w:after="0" w:afterAutospacing="0"/>
              <w:jc w:val="both"/>
              <w:rPr>
                <w:rFonts w:asciiTheme="minorHAnsi" w:hAnsiTheme="minorHAnsi" w:cstheme="minorHAnsi"/>
                <w:szCs w:val="22"/>
              </w:rPr>
            </w:pPr>
            <w:r w:rsidRPr="000C2B70">
              <w:rPr>
                <w:rFonts w:asciiTheme="minorHAnsi" w:hAnsiTheme="minorHAnsi" w:cstheme="minorHAnsi"/>
                <w:szCs w:val="22"/>
              </w:rPr>
              <w:t xml:space="preserve">De sociale partners zijn zich bewust van het belang van een doeltreffend veiligheidsbeleid in de winkels, zodat de bedienden hun werk in een rustig klimaat kunnen verrichten. </w:t>
            </w:r>
          </w:p>
          <w:p w14:paraId="42686CF0" w14:textId="77777777" w:rsidR="000C2B70" w:rsidRPr="000C2B70" w:rsidRDefault="000C2B70" w:rsidP="000C2B70">
            <w:pPr>
              <w:spacing w:before="0" w:after="0" w:afterAutospacing="0"/>
              <w:jc w:val="both"/>
              <w:rPr>
                <w:rFonts w:asciiTheme="minorHAnsi" w:hAnsiTheme="minorHAnsi" w:cstheme="minorHAnsi"/>
                <w:szCs w:val="22"/>
              </w:rPr>
            </w:pPr>
          </w:p>
          <w:p w14:paraId="363A6AEA" w14:textId="3B280948" w:rsidR="000C2B70" w:rsidRDefault="000C2B70" w:rsidP="000C2B70">
            <w:pPr>
              <w:spacing w:before="0" w:after="0" w:afterAutospacing="0"/>
              <w:jc w:val="both"/>
              <w:rPr>
                <w:rFonts w:asciiTheme="minorHAnsi" w:hAnsiTheme="minorHAnsi" w:cstheme="minorHAnsi"/>
                <w:szCs w:val="22"/>
              </w:rPr>
            </w:pPr>
            <w:r w:rsidRPr="000C2B70">
              <w:rPr>
                <w:rFonts w:asciiTheme="minorHAnsi" w:hAnsiTheme="minorHAnsi" w:cstheme="minorHAnsi"/>
                <w:szCs w:val="22"/>
              </w:rPr>
              <w:t>Vanuit het Sociaal Fonds verbinden zij zich ertoe samen te overleggen en na te denken over een positieve sensibiliseringscampagne naar de klanten.</w:t>
            </w:r>
          </w:p>
          <w:p w14:paraId="40E30DE7" w14:textId="77777777" w:rsidR="007E2BDA" w:rsidRPr="00292A59" w:rsidRDefault="007E2BDA" w:rsidP="009C6D83">
            <w:pPr>
              <w:spacing w:before="0" w:after="0" w:afterAutospacing="0"/>
              <w:jc w:val="both"/>
              <w:rPr>
                <w:rFonts w:asciiTheme="minorHAnsi" w:hAnsiTheme="minorHAnsi" w:cstheme="minorHAnsi"/>
                <w:szCs w:val="22"/>
              </w:rPr>
            </w:pPr>
          </w:p>
          <w:p w14:paraId="42024A2C" w14:textId="77777777" w:rsidR="00A85F2D" w:rsidRPr="00292A59" w:rsidRDefault="00A85F2D"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t>Sociale vrede</w:t>
            </w:r>
          </w:p>
          <w:p w14:paraId="5C83F7ED" w14:textId="2B7A4DF4" w:rsidR="000C2B70" w:rsidRPr="000C2B70" w:rsidRDefault="000C2B70" w:rsidP="009C6D83">
            <w:pPr>
              <w:spacing w:before="0" w:after="0" w:afterAutospacing="0"/>
              <w:jc w:val="both"/>
              <w:rPr>
                <w:rFonts w:asciiTheme="minorHAnsi" w:hAnsiTheme="minorHAnsi" w:cstheme="minorHAnsi"/>
                <w:szCs w:val="22"/>
              </w:rPr>
            </w:pPr>
            <w:r w:rsidRPr="000C2B70">
              <w:rPr>
                <w:rFonts w:asciiTheme="minorHAnsi" w:hAnsiTheme="minorHAnsi" w:cstheme="minorHAnsi"/>
                <w:szCs w:val="22"/>
              </w:rPr>
              <w:t>De werknemers en werkgevers verbinden zich ertoe de sociale vrede in de bedrijven te bewaren tijdens de duur van dit akkoord. De partijen zullen tijdens de looptijd van dit akkoord geen nieuwe eisen stellen met betrekking tot de inhoud van het akkoord op sectoraal of bedrijfsniveau.</w:t>
            </w:r>
          </w:p>
          <w:p w14:paraId="06B03C86" w14:textId="77777777" w:rsidR="000C2B70" w:rsidRPr="000C2B70" w:rsidRDefault="000C2B70" w:rsidP="009C6D83">
            <w:pPr>
              <w:spacing w:before="0" w:after="0" w:afterAutospacing="0"/>
              <w:jc w:val="both"/>
              <w:rPr>
                <w:rFonts w:asciiTheme="minorHAnsi" w:hAnsiTheme="minorHAnsi" w:cstheme="minorHAnsi"/>
                <w:szCs w:val="22"/>
              </w:rPr>
            </w:pPr>
          </w:p>
          <w:p w14:paraId="578EB731" w14:textId="77777777" w:rsidR="00A85F2D" w:rsidRPr="00292A59" w:rsidRDefault="00A85F2D" w:rsidP="009C6D83">
            <w:pPr>
              <w:spacing w:before="0" w:after="0" w:afterAutospacing="0"/>
              <w:jc w:val="both"/>
              <w:rPr>
                <w:rFonts w:asciiTheme="minorHAnsi" w:hAnsiTheme="minorHAnsi" w:cstheme="minorHAnsi"/>
                <w:b/>
                <w:bCs/>
                <w:szCs w:val="22"/>
              </w:rPr>
            </w:pPr>
            <w:r w:rsidRPr="00292A59">
              <w:rPr>
                <w:rFonts w:asciiTheme="minorHAnsi" w:hAnsiTheme="minorHAnsi" w:cstheme="minorHAnsi"/>
                <w:b/>
                <w:bCs/>
                <w:szCs w:val="22"/>
              </w:rPr>
              <w:t>Duur van de overeenkomst</w:t>
            </w:r>
          </w:p>
          <w:p w14:paraId="0B417AAB" w14:textId="763699F9" w:rsidR="00A85F2D" w:rsidRPr="00292A59" w:rsidRDefault="00A85F2D" w:rsidP="00985CBD">
            <w:pPr>
              <w:spacing w:before="0" w:after="0" w:afterAutospacing="0"/>
              <w:jc w:val="both"/>
              <w:rPr>
                <w:rFonts w:asciiTheme="minorHAnsi" w:hAnsiTheme="minorHAnsi" w:cstheme="minorHAnsi"/>
                <w:szCs w:val="22"/>
              </w:rPr>
            </w:pPr>
            <w:r w:rsidRPr="00292A59">
              <w:rPr>
                <w:rFonts w:asciiTheme="minorHAnsi" w:hAnsiTheme="minorHAnsi" w:cstheme="minorHAnsi"/>
                <w:szCs w:val="22"/>
              </w:rPr>
              <w:t xml:space="preserve">Deze overeenkomst treedt in werking op </w:t>
            </w:r>
            <w:r w:rsidR="00985CBD">
              <w:rPr>
                <w:rFonts w:asciiTheme="minorHAnsi" w:hAnsiTheme="minorHAnsi" w:cstheme="minorHAnsi"/>
                <w:szCs w:val="22"/>
              </w:rPr>
              <w:t>1 juli 2023</w:t>
            </w:r>
            <w:r w:rsidRPr="00292A59">
              <w:rPr>
                <w:rFonts w:asciiTheme="minorHAnsi" w:hAnsiTheme="minorHAnsi" w:cstheme="minorHAnsi"/>
                <w:szCs w:val="22"/>
              </w:rPr>
              <w:t xml:space="preserve"> en houdt op van kracht te zijn op </w:t>
            </w:r>
            <w:r w:rsidR="00985CBD">
              <w:rPr>
                <w:rFonts w:asciiTheme="minorHAnsi" w:hAnsiTheme="minorHAnsi" w:cstheme="minorHAnsi"/>
                <w:szCs w:val="22"/>
              </w:rPr>
              <w:t>30 juni 2025</w:t>
            </w:r>
            <w:r w:rsidRPr="00292A59">
              <w:rPr>
                <w:rFonts w:asciiTheme="minorHAnsi" w:hAnsiTheme="minorHAnsi" w:cstheme="minorHAnsi"/>
                <w:szCs w:val="22"/>
              </w:rPr>
              <w:t>, tenzij anders vermeld.</w:t>
            </w:r>
          </w:p>
        </w:tc>
        <w:tc>
          <w:tcPr>
            <w:tcW w:w="4429" w:type="dxa"/>
          </w:tcPr>
          <w:p w14:paraId="74AF02B1" w14:textId="77777777" w:rsidR="00A85F2D" w:rsidRPr="00F91D8A" w:rsidRDefault="00A85F2D" w:rsidP="009C6D83">
            <w:pPr>
              <w:snapToGrid w:val="0"/>
              <w:spacing w:before="0" w:after="0" w:afterAutospacing="0"/>
              <w:ind w:right="0"/>
              <w:jc w:val="both"/>
              <w:rPr>
                <w:rStyle w:val="Accentuation"/>
                <w:rFonts w:eastAsia="Calibri" w:cstheme="minorHAnsi"/>
                <w:b/>
                <w:szCs w:val="22"/>
                <w:lang w:bidi="fr-FR"/>
              </w:rPr>
            </w:pPr>
          </w:p>
          <w:p w14:paraId="1013C010" w14:textId="61D648AD"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Style w:val="Accentuation"/>
                <w:rFonts w:eastAsia="Calibri" w:cstheme="minorHAnsi"/>
                <w:b/>
                <w:szCs w:val="22"/>
                <w:lang w:val="fr-BE" w:bidi="fr-FR"/>
              </w:rPr>
              <w:t xml:space="preserve">1. </w:t>
            </w:r>
            <w:r w:rsidRPr="00292A59">
              <w:rPr>
                <w:rFonts w:asciiTheme="minorHAnsi" w:eastAsia="Calibri" w:hAnsiTheme="minorHAnsi" w:cstheme="minorHAnsi"/>
                <w:b/>
                <w:bCs/>
                <w:iCs/>
                <w:szCs w:val="22"/>
                <w:lang w:val="fr-BE" w:bidi="fr-FR"/>
              </w:rPr>
              <w:t>Trajet domicile-travail - transport privé</w:t>
            </w:r>
          </w:p>
          <w:p w14:paraId="60BBED5E" w14:textId="1625782A"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A partir de 2024, une intervention de l’employeur sera obligatoire lorsque le travailleur s</w:t>
            </w:r>
            <w:r w:rsidR="00B61052">
              <w:rPr>
                <w:rFonts w:asciiTheme="minorHAnsi" w:eastAsia="Calibri" w:hAnsiTheme="minorHAnsi" w:cstheme="minorHAnsi"/>
                <w:iCs/>
                <w:szCs w:val="22"/>
                <w:lang w:val="fr-BE" w:bidi="fr-FR"/>
              </w:rPr>
              <w:t>e</w:t>
            </w:r>
            <w:r w:rsidRPr="00292A59">
              <w:rPr>
                <w:rFonts w:asciiTheme="minorHAnsi" w:eastAsia="Calibri" w:hAnsiTheme="minorHAnsi" w:cstheme="minorHAnsi"/>
                <w:iCs/>
                <w:szCs w:val="22"/>
                <w:lang w:val="fr-BE" w:bidi="fr-FR"/>
              </w:rPr>
              <w:t xml:space="preserve"> rendr</w:t>
            </w:r>
            <w:r w:rsidR="00B61052">
              <w:rPr>
                <w:rFonts w:asciiTheme="minorHAnsi" w:eastAsia="Calibri" w:hAnsiTheme="minorHAnsi" w:cstheme="minorHAnsi"/>
                <w:iCs/>
                <w:szCs w:val="22"/>
                <w:lang w:val="fr-BE" w:bidi="fr-FR"/>
              </w:rPr>
              <w:t>a</w:t>
            </w:r>
            <w:r w:rsidRPr="00292A59">
              <w:rPr>
                <w:rFonts w:asciiTheme="minorHAnsi" w:eastAsia="Calibri" w:hAnsiTheme="minorHAnsi" w:cstheme="minorHAnsi"/>
                <w:iCs/>
                <w:szCs w:val="22"/>
                <w:lang w:val="fr-BE" w:bidi="fr-FR"/>
              </w:rPr>
              <w:t xml:space="preserve"> sur son lieu de travail en utilisant exclusivement un moyen de transport privé. </w:t>
            </w:r>
          </w:p>
          <w:p w14:paraId="248E1AE6" w14:textId="77777777"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p>
          <w:p w14:paraId="7F7C4062" w14:textId="74F24EEA" w:rsidR="0068556E" w:rsidRDefault="00D40DD8" w:rsidP="009C6D83">
            <w:pPr>
              <w:snapToGrid w:val="0"/>
              <w:spacing w:before="0" w:after="0" w:afterAutospacing="0"/>
              <w:ind w:right="0"/>
              <w:jc w:val="both"/>
              <w:rPr>
                <w:rFonts w:asciiTheme="minorHAnsi" w:eastAsia="Calibri" w:hAnsiTheme="minorHAnsi" w:cstheme="minorHAnsi"/>
                <w:iCs/>
                <w:szCs w:val="22"/>
                <w:lang w:val="fr-BE" w:bidi="fr-FR"/>
              </w:rPr>
            </w:pPr>
            <w:r w:rsidRPr="00D40DD8">
              <w:rPr>
                <w:rFonts w:asciiTheme="minorHAnsi" w:eastAsia="Calibri" w:hAnsiTheme="minorHAnsi" w:cstheme="minorHAnsi"/>
                <w:iCs/>
                <w:szCs w:val="22"/>
                <w:lang w:val="fr-BE" w:bidi="fr-FR"/>
              </w:rPr>
              <w:t>Cette intervention est fixée à 50% du prix de la carte train mensuelle en 2ème classe, et pour une distance équivalente</w:t>
            </w:r>
          </w:p>
          <w:p w14:paraId="0ECA614B" w14:textId="05033E82" w:rsidR="00D40DD8" w:rsidRDefault="00D40DD8" w:rsidP="009C6D83">
            <w:pPr>
              <w:snapToGrid w:val="0"/>
              <w:spacing w:before="0" w:after="0" w:afterAutospacing="0"/>
              <w:ind w:right="0"/>
              <w:jc w:val="both"/>
              <w:rPr>
                <w:rFonts w:asciiTheme="minorHAnsi" w:eastAsia="Calibri" w:hAnsiTheme="minorHAnsi" w:cstheme="minorHAnsi"/>
                <w:iCs/>
                <w:szCs w:val="22"/>
                <w:lang w:val="fr-BE" w:bidi="fr-FR"/>
              </w:rPr>
            </w:pPr>
          </w:p>
          <w:p w14:paraId="5CBEF100" w14:textId="0ED832E3" w:rsidR="0068556E" w:rsidRPr="001838C1"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1838C1">
              <w:rPr>
                <w:rFonts w:asciiTheme="minorHAnsi" w:eastAsia="Calibri" w:hAnsiTheme="minorHAnsi" w:cstheme="minorHAnsi"/>
                <w:iCs/>
                <w:szCs w:val="22"/>
                <w:lang w:val="fr-BE" w:bidi="fr-FR"/>
              </w:rPr>
              <w:t xml:space="preserve">L’indemnisation </w:t>
            </w:r>
            <w:r w:rsidR="005A38D6" w:rsidRPr="001838C1">
              <w:rPr>
                <w:rFonts w:asciiTheme="minorHAnsi" w:eastAsia="Calibri" w:hAnsiTheme="minorHAnsi" w:cstheme="minorHAnsi"/>
                <w:iCs/>
                <w:szCs w:val="22"/>
                <w:lang w:val="fr-BE" w:bidi="fr-FR"/>
              </w:rPr>
              <w:t xml:space="preserve">est octroyée dès le premier KM et est </w:t>
            </w:r>
            <w:r w:rsidRPr="001838C1">
              <w:rPr>
                <w:rFonts w:asciiTheme="minorHAnsi" w:eastAsia="Calibri" w:hAnsiTheme="minorHAnsi" w:cstheme="minorHAnsi"/>
                <w:iCs/>
                <w:szCs w:val="22"/>
                <w:lang w:val="fr-BE" w:bidi="fr-FR"/>
              </w:rPr>
              <w:t>plafonnée au montant équivalent à un trajet de 10KM (aller simple).</w:t>
            </w:r>
          </w:p>
          <w:p w14:paraId="2D7C91BC" w14:textId="1EEF9C5C" w:rsidR="00492F34" w:rsidRPr="001838C1" w:rsidRDefault="00492F34" w:rsidP="009C6D83">
            <w:pPr>
              <w:snapToGrid w:val="0"/>
              <w:spacing w:before="0" w:after="0" w:afterAutospacing="0"/>
              <w:ind w:right="0"/>
              <w:jc w:val="both"/>
              <w:rPr>
                <w:rFonts w:asciiTheme="minorHAnsi" w:eastAsia="Calibri" w:hAnsiTheme="minorHAnsi" w:cstheme="minorHAnsi"/>
                <w:iCs/>
                <w:szCs w:val="22"/>
                <w:lang w:val="fr-BE" w:bidi="fr-FR"/>
              </w:rPr>
            </w:pPr>
          </w:p>
          <w:p w14:paraId="45B84B7F" w14:textId="47478A32" w:rsidR="00492F34" w:rsidRPr="00310D0F" w:rsidRDefault="00253F23" w:rsidP="009C6D83">
            <w:pPr>
              <w:snapToGrid w:val="0"/>
              <w:spacing w:before="0" w:after="0" w:afterAutospacing="0"/>
              <w:ind w:right="0"/>
              <w:jc w:val="both"/>
              <w:rPr>
                <w:rFonts w:asciiTheme="minorHAnsi" w:eastAsia="Calibri" w:hAnsiTheme="minorHAnsi" w:cstheme="minorHAnsi"/>
                <w:iCs/>
                <w:szCs w:val="22"/>
                <w:lang w:val="fr-BE" w:bidi="fr-FR"/>
              </w:rPr>
            </w:pPr>
            <w:r w:rsidRPr="00310D0F">
              <w:rPr>
                <w:rFonts w:asciiTheme="minorHAnsi" w:eastAsia="Calibri" w:hAnsiTheme="minorHAnsi" w:cstheme="minorHAnsi"/>
                <w:iCs/>
                <w:szCs w:val="22"/>
                <w:lang w:val="fr-BE" w:bidi="fr-FR"/>
              </w:rPr>
              <w:t xml:space="preserve">L’indemnisation est proratisée en fonction des </w:t>
            </w:r>
            <w:r w:rsidR="00492F34" w:rsidRPr="00310D0F">
              <w:rPr>
                <w:rFonts w:asciiTheme="minorHAnsi" w:eastAsia="Calibri" w:hAnsiTheme="minorHAnsi" w:cstheme="minorHAnsi"/>
                <w:iCs/>
                <w:szCs w:val="22"/>
                <w:lang w:val="fr-BE" w:bidi="fr-FR"/>
              </w:rPr>
              <w:t>jour</w:t>
            </w:r>
            <w:r w:rsidRPr="00310D0F">
              <w:rPr>
                <w:rFonts w:asciiTheme="minorHAnsi" w:eastAsia="Calibri" w:hAnsiTheme="minorHAnsi" w:cstheme="minorHAnsi"/>
                <w:iCs/>
                <w:szCs w:val="22"/>
                <w:lang w:val="fr-BE" w:bidi="fr-FR"/>
              </w:rPr>
              <w:t>s</w:t>
            </w:r>
            <w:r w:rsidR="00492F34" w:rsidRPr="00310D0F">
              <w:rPr>
                <w:rFonts w:asciiTheme="minorHAnsi" w:eastAsia="Calibri" w:hAnsiTheme="minorHAnsi" w:cstheme="minorHAnsi"/>
                <w:iCs/>
                <w:szCs w:val="22"/>
                <w:lang w:val="fr-BE" w:bidi="fr-FR"/>
              </w:rPr>
              <w:t xml:space="preserve"> de travail</w:t>
            </w:r>
            <w:r w:rsidR="00A45ADE" w:rsidRPr="00310D0F">
              <w:rPr>
                <w:rFonts w:asciiTheme="minorHAnsi" w:eastAsia="Calibri" w:hAnsiTheme="minorHAnsi" w:cstheme="minorHAnsi"/>
                <w:iCs/>
                <w:szCs w:val="22"/>
                <w:lang w:val="fr-BE" w:bidi="fr-FR"/>
              </w:rPr>
              <w:t xml:space="preserve"> presté</w:t>
            </w:r>
            <w:r w:rsidRPr="00310D0F">
              <w:rPr>
                <w:rFonts w:asciiTheme="minorHAnsi" w:eastAsia="Calibri" w:hAnsiTheme="minorHAnsi" w:cstheme="minorHAnsi"/>
                <w:iCs/>
                <w:szCs w:val="22"/>
                <w:lang w:val="fr-BE" w:bidi="fr-FR"/>
              </w:rPr>
              <w:t>s</w:t>
            </w:r>
            <w:r w:rsidR="00FD2182" w:rsidRPr="00310D0F">
              <w:rPr>
                <w:rFonts w:asciiTheme="minorHAnsi" w:eastAsia="Calibri" w:hAnsiTheme="minorHAnsi" w:cstheme="minorHAnsi"/>
                <w:iCs/>
                <w:szCs w:val="22"/>
                <w:lang w:val="fr-BE" w:bidi="fr-FR"/>
              </w:rPr>
              <w:t>.</w:t>
            </w:r>
          </w:p>
          <w:p w14:paraId="7D4CF231" w14:textId="0BF43711" w:rsidR="00AB16AE" w:rsidRDefault="00AB16AE" w:rsidP="009C6D83">
            <w:pPr>
              <w:snapToGrid w:val="0"/>
              <w:spacing w:before="0" w:after="0" w:afterAutospacing="0"/>
              <w:ind w:right="0"/>
              <w:jc w:val="both"/>
              <w:rPr>
                <w:rFonts w:asciiTheme="minorHAnsi" w:eastAsia="Calibri" w:hAnsiTheme="minorHAnsi" w:cstheme="minorHAnsi"/>
                <w:iCs/>
                <w:szCs w:val="22"/>
                <w:lang w:val="fr-BE" w:bidi="fr-FR"/>
              </w:rPr>
            </w:pPr>
          </w:p>
          <w:p w14:paraId="0C3A487D" w14:textId="6228D323" w:rsidR="00AB16AE" w:rsidRPr="00292A59" w:rsidRDefault="00AB16AE" w:rsidP="00AB16AE">
            <w:pPr>
              <w:snapToGrid w:val="0"/>
              <w:spacing w:before="0" w:after="0" w:afterAutospacing="0"/>
              <w:ind w:right="0"/>
              <w:jc w:val="both"/>
              <w:rPr>
                <w:rFonts w:asciiTheme="minorHAnsi" w:eastAsia="Calibri" w:hAnsiTheme="minorHAnsi" w:cstheme="minorHAnsi"/>
                <w:b/>
                <w:bCs/>
                <w:iCs/>
                <w:szCs w:val="22"/>
                <w:lang w:val="fr-BE" w:bidi="fr-FR"/>
              </w:rPr>
            </w:pPr>
            <w:r>
              <w:rPr>
                <w:rFonts w:asciiTheme="minorHAnsi" w:eastAsia="Calibri" w:hAnsiTheme="minorHAnsi" w:cstheme="minorHAnsi"/>
                <w:b/>
                <w:bCs/>
                <w:iCs/>
                <w:szCs w:val="22"/>
                <w:lang w:val="fr-BE" w:bidi="fr-FR"/>
              </w:rPr>
              <w:t>2</w:t>
            </w:r>
            <w:r w:rsidRPr="00292A59">
              <w:rPr>
                <w:rFonts w:asciiTheme="minorHAnsi" w:eastAsia="Calibri" w:hAnsiTheme="minorHAnsi" w:cstheme="minorHAnsi"/>
                <w:b/>
                <w:bCs/>
                <w:iCs/>
                <w:szCs w:val="22"/>
                <w:lang w:val="fr-BE" w:bidi="fr-FR"/>
              </w:rPr>
              <w:t xml:space="preserve">. Indemnité vélo </w:t>
            </w:r>
          </w:p>
          <w:p w14:paraId="32FBA6D9" w14:textId="77777777" w:rsidR="00AB16AE" w:rsidRDefault="00AB16AE" w:rsidP="00AB16AE">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À partir du 1</w:t>
            </w:r>
            <w:r w:rsidRPr="00292A59">
              <w:rPr>
                <w:rFonts w:asciiTheme="minorHAnsi" w:eastAsia="Calibri" w:hAnsiTheme="minorHAnsi" w:cstheme="minorHAnsi"/>
                <w:iCs/>
                <w:szCs w:val="22"/>
                <w:vertAlign w:val="superscript"/>
                <w:lang w:val="fr-BE" w:bidi="fr-FR"/>
              </w:rPr>
              <w:t>er</w:t>
            </w:r>
            <w:r w:rsidRPr="00292A59">
              <w:rPr>
                <w:rFonts w:asciiTheme="minorHAnsi" w:eastAsia="Calibri" w:hAnsiTheme="minorHAnsi" w:cstheme="minorHAnsi"/>
                <w:iCs/>
                <w:szCs w:val="22"/>
                <w:lang w:val="fr-BE" w:bidi="fr-FR"/>
              </w:rPr>
              <w:t xml:space="preserve"> janvier 2024, le montant de l’indemnité est porté à 0,27€/km</w:t>
            </w:r>
          </w:p>
          <w:p w14:paraId="5D26861A" w14:textId="77777777" w:rsidR="00AB16AE" w:rsidRPr="00310D0F" w:rsidRDefault="00AB16AE" w:rsidP="009C6D83">
            <w:pPr>
              <w:snapToGrid w:val="0"/>
              <w:spacing w:before="0" w:after="0" w:afterAutospacing="0"/>
              <w:ind w:right="0"/>
              <w:jc w:val="both"/>
              <w:rPr>
                <w:rFonts w:asciiTheme="minorHAnsi" w:eastAsia="Calibri" w:hAnsiTheme="minorHAnsi" w:cstheme="minorHAnsi"/>
                <w:iCs/>
                <w:szCs w:val="22"/>
                <w:lang w:val="fr-BE" w:bidi="fr-FR"/>
              </w:rPr>
            </w:pPr>
          </w:p>
          <w:p w14:paraId="73E569BC" w14:textId="4507E604" w:rsidR="0068556E" w:rsidRPr="00292A59" w:rsidRDefault="00AB16AE" w:rsidP="009C6D83">
            <w:pPr>
              <w:snapToGrid w:val="0"/>
              <w:spacing w:before="0" w:after="0" w:afterAutospacing="0"/>
              <w:ind w:right="0"/>
              <w:jc w:val="both"/>
              <w:rPr>
                <w:rFonts w:asciiTheme="minorHAnsi" w:eastAsia="Calibri" w:hAnsiTheme="minorHAnsi" w:cstheme="minorHAnsi"/>
                <w:b/>
                <w:bCs/>
                <w:iCs/>
                <w:szCs w:val="22"/>
                <w:lang w:val="fr-BE" w:bidi="fr-FR"/>
              </w:rPr>
            </w:pPr>
            <w:r>
              <w:rPr>
                <w:rFonts w:asciiTheme="minorHAnsi" w:eastAsia="Calibri" w:hAnsiTheme="minorHAnsi" w:cstheme="minorHAnsi"/>
                <w:b/>
                <w:bCs/>
                <w:iCs/>
                <w:szCs w:val="22"/>
                <w:lang w:val="fr-BE" w:bidi="fr-FR"/>
              </w:rPr>
              <w:t>3</w:t>
            </w:r>
            <w:r w:rsidR="0068556E" w:rsidRPr="00310D0F">
              <w:rPr>
                <w:rFonts w:asciiTheme="minorHAnsi" w:eastAsia="Calibri" w:hAnsiTheme="minorHAnsi" w:cstheme="minorHAnsi"/>
                <w:b/>
                <w:bCs/>
                <w:iCs/>
                <w:szCs w:val="22"/>
                <w:lang w:val="fr-BE" w:bidi="fr-FR"/>
              </w:rPr>
              <w:t xml:space="preserve">. Prime de pouvoir </w:t>
            </w:r>
            <w:r w:rsidR="0068556E" w:rsidRPr="00292A59">
              <w:rPr>
                <w:rFonts w:asciiTheme="minorHAnsi" w:eastAsia="Calibri" w:hAnsiTheme="minorHAnsi" w:cstheme="minorHAnsi"/>
                <w:b/>
                <w:bCs/>
                <w:iCs/>
                <w:szCs w:val="22"/>
                <w:lang w:val="fr-BE" w:bidi="fr-FR"/>
              </w:rPr>
              <w:t>d'achat</w:t>
            </w:r>
          </w:p>
          <w:p w14:paraId="431647C2" w14:textId="3FA03E3F"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 xml:space="preserve">Le critère </w:t>
            </w:r>
            <w:r w:rsidR="00A85F2D" w:rsidRPr="00292A59">
              <w:rPr>
                <w:rFonts w:asciiTheme="minorHAnsi" w:eastAsia="Calibri" w:hAnsiTheme="minorHAnsi" w:cstheme="minorHAnsi"/>
                <w:iCs/>
                <w:szCs w:val="22"/>
                <w:lang w:val="fr-BE" w:bidi="fr-FR"/>
              </w:rPr>
              <w:t xml:space="preserve">d’octroi </w:t>
            </w:r>
            <w:r w:rsidRPr="00292A59">
              <w:rPr>
                <w:rFonts w:asciiTheme="minorHAnsi" w:eastAsia="Calibri" w:hAnsiTheme="minorHAnsi" w:cstheme="minorHAnsi"/>
                <w:iCs/>
                <w:szCs w:val="22"/>
                <w:lang w:val="fr-BE" w:bidi="fr-FR"/>
              </w:rPr>
              <w:t>est l</w:t>
            </w:r>
            <w:r w:rsidR="00F91D8A">
              <w:rPr>
                <w:rFonts w:asciiTheme="minorHAnsi" w:eastAsia="Calibri" w:hAnsiTheme="minorHAnsi" w:cstheme="minorHAnsi"/>
                <w:iCs/>
                <w:szCs w:val="22"/>
                <w:lang w:val="fr-BE" w:bidi="fr-FR"/>
              </w:rPr>
              <w:t xml:space="preserve">’augmentation du </w:t>
            </w:r>
            <w:r w:rsidRPr="00292A59">
              <w:rPr>
                <w:rFonts w:asciiTheme="minorHAnsi" w:eastAsia="Calibri" w:hAnsiTheme="minorHAnsi" w:cstheme="minorHAnsi"/>
                <w:iCs/>
                <w:szCs w:val="22"/>
                <w:lang w:val="fr-BE" w:bidi="fr-FR"/>
              </w:rPr>
              <w:t>bénéfice d’exploitation (code 9901) 2022 par rapport à la moyenne des exercices précédents (2019 - 2020 - 2021)</w:t>
            </w:r>
          </w:p>
          <w:p w14:paraId="6B789D75" w14:textId="77777777" w:rsidR="00F91D8A" w:rsidRDefault="0068556E" w:rsidP="009C6D83">
            <w:pPr>
              <w:pStyle w:val="Paragraphedeliste"/>
              <w:numPr>
                <w:ilvl w:val="0"/>
                <w:numId w:val="13"/>
              </w:numPr>
              <w:snapToGrid w:val="0"/>
              <w:jc w:val="both"/>
              <w:rPr>
                <w:rFonts w:asciiTheme="minorHAnsi" w:eastAsia="Calibri" w:hAnsiTheme="minorHAnsi" w:cstheme="minorHAnsi"/>
                <w:iCs/>
                <w:szCs w:val="22"/>
                <w:lang w:val="fr-BE" w:bidi="fr-FR"/>
              </w:rPr>
            </w:pPr>
            <w:r w:rsidRPr="00F91D8A">
              <w:rPr>
                <w:rFonts w:asciiTheme="minorHAnsi" w:eastAsia="Calibri" w:hAnsiTheme="minorHAnsi" w:cstheme="minorHAnsi"/>
                <w:iCs/>
                <w:szCs w:val="22"/>
                <w:lang w:val="fr-BE" w:bidi="fr-FR"/>
              </w:rPr>
              <w:t xml:space="preserve">+5% </w:t>
            </w:r>
          </w:p>
          <w:p w14:paraId="52B03165" w14:textId="2AE3DBD5" w:rsidR="00F91D8A" w:rsidRDefault="00F91D8A" w:rsidP="009C6D83">
            <w:pPr>
              <w:pStyle w:val="Paragraphedeliste"/>
              <w:numPr>
                <w:ilvl w:val="1"/>
                <w:numId w:val="13"/>
              </w:numPr>
              <w:snapToGrid w:val="0"/>
              <w:jc w:val="both"/>
              <w:rPr>
                <w:rFonts w:asciiTheme="minorHAnsi" w:eastAsia="Calibri" w:hAnsiTheme="minorHAnsi" w:cstheme="minorHAnsi"/>
                <w:iCs/>
                <w:szCs w:val="22"/>
                <w:lang w:val="fr-BE" w:bidi="fr-FR"/>
              </w:rPr>
            </w:pPr>
            <w:r w:rsidRPr="00F91D8A">
              <w:rPr>
                <w:rFonts w:asciiTheme="minorHAnsi" w:eastAsia="Calibri" w:hAnsiTheme="minorHAnsi" w:cstheme="minorHAnsi"/>
                <w:iCs/>
                <w:szCs w:val="22"/>
                <w:lang w:val="fr-BE" w:bidi="fr-FR"/>
              </w:rPr>
              <w:t>Non</w:t>
            </w:r>
            <w:r w:rsidR="0068556E" w:rsidRPr="00F91D8A">
              <w:rPr>
                <w:rFonts w:asciiTheme="minorHAnsi" w:eastAsia="Calibri" w:hAnsiTheme="minorHAnsi" w:cstheme="minorHAnsi"/>
                <w:iCs/>
                <w:szCs w:val="22"/>
                <w:lang w:val="fr-BE" w:bidi="fr-FR"/>
              </w:rPr>
              <w:t xml:space="preserve"> alimentaire et alimentaire spécialisé : 75€</w:t>
            </w:r>
          </w:p>
          <w:p w14:paraId="48CBBE0F" w14:textId="65055560" w:rsidR="0068556E" w:rsidRPr="00F91D8A" w:rsidRDefault="00F91D8A" w:rsidP="009C6D83">
            <w:pPr>
              <w:pStyle w:val="Paragraphedeliste"/>
              <w:numPr>
                <w:ilvl w:val="1"/>
                <w:numId w:val="13"/>
              </w:numPr>
              <w:snapToGrid w:val="0"/>
              <w:jc w:val="both"/>
              <w:rPr>
                <w:rFonts w:asciiTheme="minorHAnsi" w:eastAsia="Calibri" w:hAnsiTheme="minorHAnsi" w:cstheme="minorHAnsi"/>
                <w:iCs/>
                <w:szCs w:val="22"/>
                <w:lang w:val="fr-BE" w:bidi="fr-FR"/>
              </w:rPr>
            </w:pPr>
            <w:r w:rsidRPr="00F91D8A">
              <w:rPr>
                <w:rFonts w:asciiTheme="minorHAnsi" w:eastAsia="Calibri" w:hAnsiTheme="minorHAnsi" w:cstheme="minorHAnsi"/>
                <w:iCs/>
                <w:szCs w:val="22"/>
                <w:lang w:val="fr-BE" w:bidi="fr-FR"/>
              </w:rPr>
              <w:t>Supermarchés</w:t>
            </w:r>
            <w:r w:rsidR="0068556E" w:rsidRPr="00F91D8A">
              <w:rPr>
                <w:rFonts w:asciiTheme="minorHAnsi" w:eastAsia="Calibri" w:hAnsiTheme="minorHAnsi" w:cstheme="minorHAnsi"/>
                <w:iCs/>
                <w:szCs w:val="22"/>
                <w:lang w:val="fr-BE" w:bidi="fr-FR"/>
              </w:rPr>
              <w:t>.</w:t>
            </w:r>
            <w:r>
              <w:rPr>
                <w:rFonts w:asciiTheme="minorHAnsi" w:eastAsia="Calibri" w:hAnsiTheme="minorHAnsi" w:cstheme="minorHAnsi"/>
                <w:iCs/>
                <w:szCs w:val="22"/>
                <w:lang w:val="fr-BE" w:bidi="fr-FR"/>
              </w:rPr>
              <w:t> :150 €</w:t>
            </w:r>
          </w:p>
          <w:p w14:paraId="2C97EAA1" w14:textId="77777777" w:rsidR="00F91D8A" w:rsidRDefault="0068556E" w:rsidP="009C6D83">
            <w:pPr>
              <w:pStyle w:val="Paragraphedeliste"/>
              <w:numPr>
                <w:ilvl w:val="0"/>
                <w:numId w:val="13"/>
              </w:numPr>
              <w:snapToGrid w:val="0"/>
              <w:jc w:val="both"/>
              <w:rPr>
                <w:rFonts w:asciiTheme="minorHAnsi" w:eastAsia="Calibri" w:hAnsiTheme="minorHAnsi" w:cstheme="minorHAnsi"/>
                <w:iCs/>
                <w:szCs w:val="22"/>
                <w:lang w:val="fr-BE" w:bidi="fr-FR"/>
              </w:rPr>
            </w:pPr>
            <w:r w:rsidRPr="00F91D8A">
              <w:rPr>
                <w:rFonts w:asciiTheme="minorHAnsi" w:eastAsia="Calibri" w:hAnsiTheme="minorHAnsi" w:cstheme="minorHAnsi"/>
                <w:iCs/>
                <w:szCs w:val="22"/>
                <w:lang w:val="fr-BE" w:bidi="fr-FR"/>
              </w:rPr>
              <w:t xml:space="preserve">+25% </w:t>
            </w:r>
          </w:p>
          <w:p w14:paraId="32FB133A" w14:textId="76FD3DA2" w:rsidR="00F91D8A" w:rsidRDefault="00F91D8A" w:rsidP="009C6D83">
            <w:pPr>
              <w:pStyle w:val="Paragraphedeliste"/>
              <w:numPr>
                <w:ilvl w:val="1"/>
                <w:numId w:val="13"/>
              </w:numPr>
              <w:snapToGrid w:val="0"/>
              <w:jc w:val="both"/>
              <w:rPr>
                <w:rFonts w:asciiTheme="minorHAnsi" w:eastAsia="Calibri" w:hAnsiTheme="minorHAnsi" w:cstheme="minorHAnsi"/>
                <w:iCs/>
                <w:szCs w:val="22"/>
                <w:lang w:val="fr-BE" w:bidi="fr-FR"/>
              </w:rPr>
            </w:pPr>
            <w:r>
              <w:rPr>
                <w:rFonts w:asciiTheme="minorHAnsi" w:eastAsia="Calibri" w:hAnsiTheme="minorHAnsi" w:cstheme="minorHAnsi"/>
                <w:iCs/>
                <w:szCs w:val="22"/>
                <w:lang w:val="fr-BE" w:bidi="fr-FR"/>
              </w:rPr>
              <w:t>N</w:t>
            </w:r>
            <w:r w:rsidR="0068556E" w:rsidRPr="00F91D8A">
              <w:rPr>
                <w:rFonts w:asciiTheme="minorHAnsi" w:eastAsia="Calibri" w:hAnsiTheme="minorHAnsi" w:cstheme="minorHAnsi"/>
                <w:iCs/>
                <w:szCs w:val="22"/>
                <w:lang w:val="fr-BE" w:bidi="fr-FR"/>
              </w:rPr>
              <w:t xml:space="preserve">on alimentaire et alimentaires </w:t>
            </w:r>
            <w:r>
              <w:rPr>
                <w:rFonts w:asciiTheme="minorHAnsi" w:eastAsia="Calibri" w:hAnsiTheme="minorHAnsi" w:cstheme="minorHAnsi"/>
                <w:iCs/>
                <w:szCs w:val="22"/>
                <w:lang w:val="fr-BE" w:bidi="fr-FR"/>
              </w:rPr>
              <w:t xml:space="preserve">spécialisé : </w:t>
            </w:r>
            <w:r w:rsidR="0068556E" w:rsidRPr="00F91D8A">
              <w:rPr>
                <w:rFonts w:asciiTheme="minorHAnsi" w:eastAsia="Calibri" w:hAnsiTheme="minorHAnsi" w:cstheme="minorHAnsi"/>
                <w:iCs/>
                <w:szCs w:val="22"/>
                <w:lang w:val="fr-BE" w:bidi="fr-FR"/>
              </w:rPr>
              <w:t xml:space="preserve">150€ </w:t>
            </w:r>
          </w:p>
          <w:p w14:paraId="4B472475" w14:textId="16BCE5C7" w:rsidR="0068556E" w:rsidRPr="00F91D8A" w:rsidRDefault="00F91D8A" w:rsidP="009C6D83">
            <w:pPr>
              <w:pStyle w:val="Paragraphedeliste"/>
              <w:numPr>
                <w:ilvl w:val="1"/>
                <w:numId w:val="13"/>
              </w:numPr>
              <w:snapToGrid w:val="0"/>
              <w:jc w:val="both"/>
              <w:rPr>
                <w:rFonts w:asciiTheme="minorHAnsi" w:eastAsia="Calibri" w:hAnsiTheme="minorHAnsi" w:cstheme="minorHAnsi"/>
                <w:iCs/>
                <w:szCs w:val="22"/>
                <w:lang w:val="fr-BE" w:bidi="fr-FR"/>
              </w:rPr>
            </w:pPr>
            <w:r>
              <w:rPr>
                <w:rFonts w:asciiTheme="minorHAnsi" w:eastAsia="Calibri" w:hAnsiTheme="minorHAnsi" w:cstheme="minorHAnsi"/>
                <w:iCs/>
                <w:szCs w:val="22"/>
                <w:lang w:val="fr-BE" w:bidi="fr-FR"/>
              </w:rPr>
              <w:t>S</w:t>
            </w:r>
            <w:r w:rsidR="0068556E" w:rsidRPr="00F91D8A">
              <w:rPr>
                <w:rFonts w:asciiTheme="minorHAnsi" w:eastAsia="Calibri" w:hAnsiTheme="minorHAnsi" w:cstheme="minorHAnsi"/>
                <w:iCs/>
                <w:szCs w:val="22"/>
                <w:lang w:val="fr-BE" w:bidi="fr-FR"/>
              </w:rPr>
              <w:t>upermarchés</w:t>
            </w:r>
            <w:r>
              <w:rPr>
                <w:rFonts w:asciiTheme="minorHAnsi" w:eastAsia="Calibri" w:hAnsiTheme="minorHAnsi" w:cstheme="minorHAnsi"/>
                <w:iCs/>
                <w:szCs w:val="22"/>
                <w:lang w:val="fr-BE" w:bidi="fr-FR"/>
              </w:rPr>
              <w:t> :</w:t>
            </w:r>
            <w:r w:rsidR="0068556E" w:rsidRPr="00F91D8A">
              <w:rPr>
                <w:rFonts w:asciiTheme="minorHAnsi" w:eastAsia="Calibri" w:hAnsiTheme="minorHAnsi" w:cstheme="minorHAnsi"/>
                <w:iCs/>
                <w:szCs w:val="22"/>
                <w:lang w:val="fr-BE" w:bidi="fr-FR"/>
              </w:rPr>
              <w:t xml:space="preserve"> 250€.</w:t>
            </w:r>
          </w:p>
          <w:p w14:paraId="2F1D3318" w14:textId="206A2DA9" w:rsidR="00F91D8A" w:rsidRDefault="00F91D8A" w:rsidP="009C6D83">
            <w:pPr>
              <w:snapToGrid w:val="0"/>
              <w:spacing w:before="0" w:after="0" w:afterAutospacing="0"/>
              <w:ind w:right="0"/>
              <w:jc w:val="both"/>
              <w:rPr>
                <w:rFonts w:asciiTheme="minorHAnsi" w:eastAsia="Calibri" w:hAnsiTheme="minorHAnsi" w:cstheme="minorHAnsi"/>
                <w:b/>
                <w:bCs/>
                <w:iCs/>
                <w:szCs w:val="22"/>
                <w:lang w:val="fr-BE" w:bidi="fr-FR"/>
              </w:rPr>
            </w:pPr>
          </w:p>
          <w:p w14:paraId="0BA5A28E" w14:textId="4A55F643" w:rsidR="00253F23" w:rsidRPr="001838C1" w:rsidRDefault="00253F23" w:rsidP="009C6D83">
            <w:pPr>
              <w:snapToGrid w:val="0"/>
              <w:spacing w:before="0" w:after="0" w:afterAutospacing="0"/>
              <w:ind w:right="0"/>
              <w:jc w:val="both"/>
              <w:rPr>
                <w:rFonts w:asciiTheme="minorHAnsi" w:eastAsia="Calibri" w:hAnsiTheme="minorHAnsi" w:cstheme="minorHAnsi"/>
                <w:iCs/>
                <w:szCs w:val="22"/>
                <w:lang w:val="fr-BE" w:bidi="fr-FR"/>
              </w:rPr>
            </w:pPr>
            <w:r w:rsidRPr="001838C1">
              <w:rPr>
                <w:rFonts w:asciiTheme="minorHAnsi" w:eastAsia="Calibri" w:hAnsiTheme="minorHAnsi" w:cstheme="minorHAnsi"/>
                <w:iCs/>
                <w:szCs w:val="22"/>
                <w:lang w:val="fr-BE" w:bidi="fr-FR"/>
              </w:rPr>
              <w:lastRenderedPageBreak/>
              <w:t xml:space="preserve">L’année </w:t>
            </w:r>
            <w:r w:rsidR="00A639F1" w:rsidRPr="001838C1">
              <w:rPr>
                <w:rFonts w:asciiTheme="minorHAnsi" w:eastAsia="Calibri" w:hAnsiTheme="minorHAnsi" w:cstheme="minorHAnsi"/>
                <w:iCs/>
                <w:szCs w:val="22"/>
                <w:lang w:val="fr-BE" w:bidi="fr-FR"/>
              </w:rPr>
              <w:t>2022 fait référence à l’exercice comptable au cours duquel la majorité des mois se trouvent en 2022. Si l’exercice comptable se clôture le 30 juin, on fait référence à l’exercice comptable clôturé en 2022.</w:t>
            </w:r>
          </w:p>
          <w:p w14:paraId="2ED6988C" w14:textId="79A7073A" w:rsidR="00253F23" w:rsidRPr="009C6D83" w:rsidRDefault="00253F23" w:rsidP="009C6D83">
            <w:pPr>
              <w:snapToGrid w:val="0"/>
              <w:spacing w:before="0" w:after="0" w:afterAutospacing="0"/>
              <w:ind w:right="0"/>
              <w:jc w:val="both"/>
              <w:rPr>
                <w:rFonts w:asciiTheme="minorHAnsi" w:eastAsia="Calibri" w:hAnsiTheme="minorHAnsi" w:cstheme="minorHAnsi"/>
                <w:iCs/>
                <w:szCs w:val="22"/>
                <w:lang w:val="fr-BE" w:bidi="fr-FR"/>
              </w:rPr>
            </w:pPr>
          </w:p>
          <w:p w14:paraId="7FD80FD2" w14:textId="7C7EF6A0" w:rsidR="001838C1" w:rsidRPr="009C6D83" w:rsidRDefault="001838C1"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 xml:space="preserve">Les entreprises qui n’existaient pas durant toute la période 2019-2021 </w:t>
            </w:r>
            <w:r w:rsidR="00923ADA" w:rsidRPr="009C6D83">
              <w:rPr>
                <w:rFonts w:asciiTheme="minorHAnsi" w:eastAsia="Calibri" w:hAnsiTheme="minorHAnsi" w:cstheme="minorHAnsi"/>
                <w:iCs/>
                <w:szCs w:val="22"/>
                <w:lang w:val="fr-BE" w:bidi="fr-FR"/>
              </w:rPr>
              <w:t>calculeront</w:t>
            </w:r>
            <w:r w:rsidRPr="009C6D83">
              <w:rPr>
                <w:rFonts w:asciiTheme="minorHAnsi" w:eastAsia="Calibri" w:hAnsiTheme="minorHAnsi" w:cstheme="minorHAnsi"/>
                <w:iCs/>
                <w:szCs w:val="22"/>
                <w:lang w:val="fr-BE" w:bidi="fr-FR"/>
              </w:rPr>
              <w:t xml:space="preserve"> la moyenne sur les exercices durant lesquels elles existaient.</w:t>
            </w:r>
          </w:p>
          <w:p w14:paraId="4FD12E21" w14:textId="26E37DC8" w:rsidR="00923ADA" w:rsidRPr="009C6D83" w:rsidRDefault="00923ADA" w:rsidP="009C6D83">
            <w:pPr>
              <w:snapToGrid w:val="0"/>
              <w:spacing w:before="0" w:after="0" w:afterAutospacing="0"/>
              <w:ind w:right="0"/>
              <w:jc w:val="both"/>
              <w:rPr>
                <w:rFonts w:asciiTheme="minorHAnsi" w:eastAsia="Calibri" w:hAnsiTheme="minorHAnsi" w:cstheme="minorHAnsi"/>
                <w:iCs/>
                <w:szCs w:val="22"/>
                <w:lang w:val="fr-BE" w:bidi="fr-FR"/>
              </w:rPr>
            </w:pPr>
          </w:p>
          <w:p w14:paraId="005D3AAD" w14:textId="03B3F57E" w:rsidR="00923ADA" w:rsidRPr="009C6D83" w:rsidRDefault="00923ADA" w:rsidP="009C6D83">
            <w:pPr>
              <w:snapToGrid w:val="0"/>
              <w:spacing w:before="0" w:after="0" w:afterAutospacing="0"/>
              <w:ind w:right="0"/>
              <w:jc w:val="both"/>
              <w:rPr>
                <w:rFonts w:asciiTheme="minorHAnsi" w:eastAsia="Calibri" w:hAnsiTheme="minorHAnsi" w:cstheme="minorHAnsi"/>
                <w:b/>
                <w:bCs/>
                <w:iCs/>
                <w:szCs w:val="22"/>
                <w:lang w:val="fr-BE" w:bidi="fr-FR"/>
              </w:rPr>
            </w:pPr>
            <w:r w:rsidRPr="009C6D83">
              <w:rPr>
                <w:rFonts w:asciiTheme="minorHAnsi" w:eastAsia="Calibri" w:hAnsiTheme="minorHAnsi" w:cstheme="minorHAnsi"/>
                <w:b/>
                <w:bCs/>
                <w:iCs/>
                <w:szCs w:val="22"/>
                <w:lang w:val="fr-BE" w:bidi="fr-FR"/>
              </w:rPr>
              <w:t>Conditions d’octroi</w:t>
            </w:r>
          </w:p>
          <w:p w14:paraId="5E3A2CAC" w14:textId="77777777" w:rsidR="005A38D6" w:rsidRPr="009C6D83"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La prime est accordée aux travailleurs qui :</w:t>
            </w:r>
          </w:p>
          <w:p w14:paraId="78D0A7B6" w14:textId="77777777" w:rsidR="005A38D6" w:rsidRPr="009C6D83"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 xml:space="preserve">- sont sous contrat de travail au 31 octobre 2023 et au moment du paiement de la prime, </w:t>
            </w:r>
          </w:p>
          <w:p w14:paraId="77BEDA2A" w14:textId="77777777" w:rsidR="005A38D6" w:rsidRPr="00BA01B8"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 xml:space="preserve">- et ce au prorata des prestations effectives ou assimilées (conformément à l’arrêté royal du 30 mars 1967 relatif aux vacances </w:t>
            </w:r>
            <w:r w:rsidRPr="00BA01B8">
              <w:rPr>
                <w:rFonts w:asciiTheme="minorHAnsi" w:eastAsia="Calibri" w:hAnsiTheme="minorHAnsi" w:cstheme="minorHAnsi"/>
                <w:iCs/>
                <w:szCs w:val="22"/>
                <w:lang w:val="fr-BE" w:bidi="fr-FR"/>
              </w:rPr>
              <w:t>annuelles) entre le 1er novembre 2022 et le 31 octobre 2023.</w:t>
            </w:r>
          </w:p>
          <w:p w14:paraId="6FC47092" w14:textId="5C25D002" w:rsidR="005A38D6" w:rsidRPr="00BA01B8"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BA01B8">
              <w:rPr>
                <w:rFonts w:asciiTheme="minorHAnsi" w:eastAsia="Calibri" w:hAnsiTheme="minorHAnsi" w:cstheme="minorHAnsi"/>
                <w:iCs/>
                <w:szCs w:val="22"/>
                <w:lang w:val="fr-BE" w:bidi="fr-FR"/>
              </w:rPr>
              <w:t xml:space="preserve">- </w:t>
            </w:r>
            <w:r w:rsidR="00A639F1" w:rsidRPr="00BA01B8">
              <w:rPr>
                <w:rFonts w:asciiTheme="minorHAnsi" w:eastAsia="Calibri" w:hAnsiTheme="minorHAnsi" w:cstheme="minorHAnsi"/>
                <w:iCs/>
                <w:szCs w:val="22"/>
                <w:lang w:val="fr-BE" w:bidi="fr-FR"/>
              </w:rPr>
              <w:t xml:space="preserve">pour les travailleurs à temps partiel </w:t>
            </w:r>
            <w:r w:rsidRPr="00BA01B8">
              <w:rPr>
                <w:rFonts w:asciiTheme="minorHAnsi" w:eastAsia="Calibri" w:hAnsiTheme="minorHAnsi" w:cstheme="minorHAnsi"/>
                <w:iCs/>
                <w:szCs w:val="22"/>
                <w:lang w:val="fr-BE" w:bidi="fr-FR"/>
              </w:rPr>
              <w:t>au prorata de</w:t>
            </w:r>
            <w:r w:rsidR="00A63C6C" w:rsidRPr="00BA01B8">
              <w:rPr>
                <w:rFonts w:asciiTheme="minorHAnsi" w:eastAsia="Calibri" w:hAnsiTheme="minorHAnsi" w:cstheme="minorHAnsi"/>
                <w:iCs/>
                <w:szCs w:val="22"/>
                <w:lang w:val="fr-BE" w:bidi="fr-FR"/>
              </w:rPr>
              <w:t xml:space="preserve">s heures réellement prestées </w:t>
            </w:r>
            <w:r w:rsidR="00A639F1" w:rsidRPr="00BA01B8">
              <w:rPr>
                <w:rFonts w:asciiTheme="minorHAnsi" w:eastAsia="Calibri" w:hAnsiTheme="minorHAnsi" w:cstheme="minorHAnsi"/>
                <w:iCs/>
                <w:szCs w:val="22"/>
                <w:lang w:val="fr-BE" w:bidi="fr-FR"/>
              </w:rPr>
              <w:t>entre le 1</w:t>
            </w:r>
            <w:r w:rsidR="00A639F1" w:rsidRPr="00BA01B8">
              <w:rPr>
                <w:rFonts w:asciiTheme="minorHAnsi" w:eastAsia="Calibri" w:hAnsiTheme="minorHAnsi" w:cstheme="minorHAnsi"/>
                <w:iCs/>
                <w:szCs w:val="22"/>
                <w:vertAlign w:val="superscript"/>
                <w:lang w:val="fr-BE" w:bidi="fr-FR"/>
              </w:rPr>
              <w:t>er</w:t>
            </w:r>
            <w:r w:rsidR="00A639F1" w:rsidRPr="00BA01B8">
              <w:rPr>
                <w:rFonts w:asciiTheme="minorHAnsi" w:eastAsia="Calibri" w:hAnsiTheme="minorHAnsi" w:cstheme="minorHAnsi"/>
                <w:iCs/>
                <w:szCs w:val="22"/>
                <w:lang w:val="fr-BE" w:bidi="fr-FR"/>
              </w:rPr>
              <w:t xml:space="preserve"> novembre 2022 et le 31 octobre 2023.</w:t>
            </w:r>
          </w:p>
          <w:p w14:paraId="5E1F7FDB" w14:textId="77777777" w:rsidR="005A38D6" w:rsidRPr="00BA01B8" w:rsidRDefault="005A38D6" w:rsidP="009C6D83">
            <w:pPr>
              <w:snapToGrid w:val="0"/>
              <w:spacing w:before="0" w:after="0" w:afterAutospacing="0"/>
              <w:ind w:right="0"/>
              <w:jc w:val="both"/>
              <w:rPr>
                <w:rFonts w:asciiTheme="minorHAnsi" w:eastAsia="Calibri" w:hAnsiTheme="minorHAnsi" w:cstheme="minorHAnsi"/>
                <w:iCs/>
                <w:szCs w:val="22"/>
                <w:lang w:val="fr-BE" w:bidi="fr-FR"/>
              </w:rPr>
            </w:pPr>
          </w:p>
          <w:p w14:paraId="7978E745" w14:textId="07FDD1C1" w:rsidR="005A38D6" w:rsidRPr="009C6D83"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BA01B8">
              <w:rPr>
                <w:rFonts w:asciiTheme="minorHAnsi" w:eastAsia="Calibri" w:hAnsiTheme="minorHAnsi" w:cstheme="minorHAnsi"/>
                <w:iCs/>
                <w:szCs w:val="22"/>
                <w:lang w:val="fr-BE" w:bidi="fr-FR"/>
              </w:rPr>
              <w:t>Cette prime unique et non-récurrente sera payée en même temps que la prime de fin d’année, mais ne sera</w:t>
            </w:r>
            <w:r w:rsidRPr="009C6D83">
              <w:rPr>
                <w:rFonts w:asciiTheme="minorHAnsi" w:eastAsia="Calibri" w:hAnsiTheme="minorHAnsi" w:cstheme="minorHAnsi"/>
                <w:iCs/>
                <w:szCs w:val="22"/>
                <w:lang w:val="fr-BE" w:bidi="fr-FR"/>
              </w:rPr>
              <w:t xml:space="preserve"> pas prise en compte pour son calcul.</w:t>
            </w:r>
          </w:p>
          <w:p w14:paraId="367D5F38" w14:textId="77777777" w:rsidR="00A639F1" w:rsidRPr="009C6D83" w:rsidRDefault="00A639F1" w:rsidP="009C6D83">
            <w:pPr>
              <w:snapToGrid w:val="0"/>
              <w:spacing w:before="0" w:after="0" w:afterAutospacing="0"/>
              <w:ind w:right="0"/>
              <w:jc w:val="both"/>
              <w:rPr>
                <w:rFonts w:asciiTheme="minorHAnsi" w:eastAsia="Calibri" w:hAnsiTheme="minorHAnsi" w:cstheme="minorHAnsi"/>
                <w:iCs/>
                <w:szCs w:val="22"/>
                <w:lang w:val="fr-BE" w:bidi="fr-FR"/>
              </w:rPr>
            </w:pPr>
          </w:p>
          <w:p w14:paraId="09C05451" w14:textId="05129F7E" w:rsidR="005A38D6" w:rsidRPr="009C6D83" w:rsidRDefault="005A38D6"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Les employeurs accorderont la prime pouvoir d'achat sous format électronique ou papier selon les modalités concrètes prévues dans cette convention.</w:t>
            </w:r>
          </w:p>
          <w:p w14:paraId="74E8229F" w14:textId="08852820" w:rsidR="005A38D6" w:rsidRPr="009C6D83" w:rsidRDefault="005A38D6" w:rsidP="009C6D83">
            <w:pPr>
              <w:snapToGrid w:val="0"/>
              <w:spacing w:before="0" w:after="0" w:afterAutospacing="0"/>
              <w:ind w:right="0"/>
              <w:jc w:val="both"/>
              <w:rPr>
                <w:rFonts w:asciiTheme="minorHAnsi" w:eastAsia="Calibri" w:hAnsiTheme="minorHAnsi" w:cstheme="minorHAnsi"/>
                <w:iCs/>
                <w:szCs w:val="22"/>
                <w:lang w:val="fr-BE" w:bidi="fr-FR"/>
              </w:rPr>
            </w:pPr>
          </w:p>
          <w:p w14:paraId="7760F890" w14:textId="53AA5673" w:rsidR="005A38D6" w:rsidRPr="009C6D83" w:rsidRDefault="00923ADA" w:rsidP="009C6D83">
            <w:pPr>
              <w:snapToGrid w:val="0"/>
              <w:spacing w:before="0" w:after="0" w:afterAutospacing="0"/>
              <w:ind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Les partenaires sociaux s’accordent pour que la commission paritaire puisse organiser une communication sur l’octroi de la prime « pouvoir d’achat ».</w:t>
            </w:r>
          </w:p>
          <w:p w14:paraId="1696F10C" w14:textId="77777777" w:rsidR="00A45ADE" w:rsidRPr="009C6D83" w:rsidRDefault="00A45ADE" w:rsidP="009C6D83">
            <w:pPr>
              <w:snapToGrid w:val="0"/>
              <w:spacing w:before="0" w:after="0" w:afterAutospacing="0"/>
              <w:ind w:right="0"/>
              <w:jc w:val="both"/>
              <w:rPr>
                <w:rFonts w:asciiTheme="minorHAnsi" w:eastAsia="Calibri" w:hAnsiTheme="minorHAnsi" w:cstheme="minorHAnsi"/>
                <w:iCs/>
                <w:szCs w:val="22"/>
                <w:lang w:val="fr-BE" w:bidi="fr-FR"/>
              </w:rPr>
            </w:pPr>
          </w:p>
          <w:p w14:paraId="5E7CC55A" w14:textId="77777777"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4. Prime de fin d'année</w:t>
            </w:r>
          </w:p>
          <w:p w14:paraId="09E0C9E2" w14:textId="747657A7" w:rsidR="009C6D83" w:rsidRPr="009C6D83"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 xml:space="preserve">À partir de 2024, </w:t>
            </w:r>
            <w:r w:rsidR="009C6D83" w:rsidRPr="009C6D83">
              <w:rPr>
                <w:rFonts w:asciiTheme="minorHAnsi" w:eastAsia="Calibri" w:hAnsiTheme="minorHAnsi" w:cstheme="minorHAnsi"/>
                <w:iCs/>
                <w:szCs w:val="22"/>
                <w:lang w:val="fr-BE" w:bidi="fr-FR"/>
              </w:rPr>
              <w:t>l’article 5 de la convention collective de travail du 20 janvier 2022 (172548/CO/201) concernant la prime de fin d’année</w:t>
            </w:r>
            <w:r w:rsidR="009C6D83">
              <w:rPr>
                <w:rFonts w:asciiTheme="minorHAnsi" w:eastAsia="Calibri" w:hAnsiTheme="minorHAnsi" w:cstheme="minorHAnsi"/>
                <w:iCs/>
                <w:szCs w:val="22"/>
                <w:lang w:val="fr-BE" w:bidi="fr-FR"/>
              </w:rPr>
              <w:t xml:space="preserve"> </w:t>
            </w:r>
            <w:r w:rsidR="009C6D83" w:rsidRPr="009C6D83">
              <w:rPr>
                <w:rFonts w:asciiTheme="minorHAnsi" w:eastAsia="Calibri" w:hAnsiTheme="minorHAnsi" w:cstheme="minorHAnsi"/>
                <w:iCs/>
                <w:szCs w:val="22"/>
                <w:lang w:val="fr-BE" w:bidi="fr-FR"/>
              </w:rPr>
              <w:t>est remplacé par le texte suivan</w:t>
            </w:r>
            <w:r w:rsidR="00BA01B8">
              <w:rPr>
                <w:rFonts w:asciiTheme="minorHAnsi" w:eastAsia="Calibri" w:hAnsiTheme="minorHAnsi" w:cstheme="minorHAnsi"/>
                <w:iCs/>
                <w:szCs w:val="22"/>
                <w:lang w:val="fr-BE" w:bidi="fr-FR"/>
              </w:rPr>
              <w:t>t</w:t>
            </w:r>
            <w:r w:rsidR="009C6D83" w:rsidRPr="009C6D83">
              <w:rPr>
                <w:rFonts w:asciiTheme="minorHAnsi" w:eastAsia="Calibri" w:hAnsiTheme="minorHAnsi" w:cstheme="minorHAnsi"/>
                <w:iCs/>
                <w:szCs w:val="22"/>
                <w:lang w:val="fr-BE" w:bidi="fr-FR"/>
              </w:rPr>
              <w:t xml:space="preserve"> :</w:t>
            </w:r>
          </w:p>
          <w:p w14:paraId="59645DA0" w14:textId="141CDEEB" w:rsidR="009C6D83" w:rsidRPr="009C6D83" w:rsidRDefault="009C6D83" w:rsidP="009C6D83">
            <w:pPr>
              <w:snapToGrid w:val="0"/>
              <w:spacing w:before="0" w:after="0" w:afterAutospacing="0"/>
              <w:ind w:left="720"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 xml:space="preserve">Article 5 - Le montant de la prime de fin d'année ne peut être réduit pour des absences en raison de prise de congé annuel, jours fériés légaux, jours d'inactivité fixés par CCT, petit </w:t>
            </w:r>
            <w:r w:rsidRPr="009C6D83">
              <w:rPr>
                <w:rFonts w:asciiTheme="minorHAnsi" w:eastAsia="Calibri" w:hAnsiTheme="minorHAnsi" w:cstheme="minorHAnsi"/>
                <w:iCs/>
                <w:szCs w:val="22"/>
                <w:lang w:val="fr-BE" w:bidi="fr-FR"/>
              </w:rPr>
              <w:lastRenderedPageBreak/>
              <w:t>chômage, congé pour raisons impérieuses, maladie professionnelle ou accident de travail.</w:t>
            </w:r>
          </w:p>
          <w:p w14:paraId="31DE93C3" w14:textId="42D77FE6" w:rsidR="00DB4C2A" w:rsidRPr="009C6D83" w:rsidRDefault="00DB4C2A" w:rsidP="009C6D83">
            <w:pPr>
              <w:snapToGrid w:val="0"/>
              <w:spacing w:before="0" w:after="0" w:afterAutospacing="0"/>
              <w:ind w:left="720" w:right="0"/>
              <w:jc w:val="both"/>
              <w:rPr>
                <w:rFonts w:asciiTheme="minorHAnsi" w:eastAsia="Calibri" w:hAnsiTheme="minorHAnsi" w:cstheme="minorHAnsi"/>
                <w:iCs/>
                <w:szCs w:val="22"/>
                <w:lang w:val="fr-BE" w:bidi="fr-FR"/>
              </w:rPr>
            </w:pPr>
          </w:p>
          <w:p w14:paraId="730D0D59" w14:textId="77777777" w:rsidR="00DB4C2A" w:rsidRPr="009C6D83" w:rsidRDefault="00DB4C2A" w:rsidP="009C6D83">
            <w:pPr>
              <w:snapToGrid w:val="0"/>
              <w:spacing w:before="0" w:after="0" w:afterAutospacing="0"/>
              <w:ind w:left="720" w:right="0"/>
              <w:jc w:val="both"/>
              <w:rPr>
                <w:rFonts w:asciiTheme="minorHAnsi" w:eastAsia="Calibri" w:hAnsiTheme="minorHAnsi" w:cstheme="minorHAnsi"/>
                <w:iCs/>
                <w:szCs w:val="22"/>
                <w:lang w:val="fr-BE" w:bidi="fr-FR"/>
              </w:rPr>
            </w:pPr>
            <w:r w:rsidRPr="009C6D83">
              <w:rPr>
                <w:rFonts w:asciiTheme="minorHAnsi" w:eastAsia="Calibri" w:hAnsiTheme="minorHAnsi" w:cstheme="minorHAnsi"/>
                <w:iCs/>
                <w:szCs w:val="22"/>
                <w:lang w:val="fr-BE" w:bidi="fr-FR"/>
              </w:rPr>
              <w:t>Pour maximum 60 jours par an d'absence pour maladie ou accident, de repos d'accouchement ou congé de paternité pour le travailleur dont la femme est dans l'impossibilité de prendre le repos d'accouchement, le montant de la prime de fin d'année ne sera pas réduit non plus.</w:t>
            </w:r>
          </w:p>
          <w:p w14:paraId="13B20938" w14:textId="77777777" w:rsidR="00DB4C2A" w:rsidRDefault="00DB4C2A" w:rsidP="009C6D83">
            <w:pPr>
              <w:snapToGrid w:val="0"/>
              <w:spacing w:before="0" w:after="0" w:afterAutospacing="0"/>
              <w:ind w:right="0"/>
              <w:jc w:val="both"/>
              <w:rPr>
                <w:rFonts w:asciiTheme="minorHAnsi" w:eastAsia="Calibri" w:hAnsiTheme="minorHAnsi" w:cstheme="minorHAnsi"/>
                <w:iCs/>
                <w:szCs w:val="22"/>
                <w:lang w:val="fr-BE" w:bidi="fr-FR"/>
              </w:rPr>
            </w:pPr>
          </w:p>
          <w:p w14:paraId="1683A75E" w14:textId="77777777"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5. Formation</w:t>
            </w:r>
          </w:p>
          <w:p w14:paraId="53B884BC" w14:textId="194F1D63"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 xml:space="preserve">Un groupe de pilotage « formation » est créé au sein de </w:t>
            </w:r>
            <w:r w:rsidR="00BA01B8">
              <w:rPr>
                <w:rFonts w:asciiTheme="minorHAnsi" w:eastAsia="Calibri" w:hAnsiTheme="minorHAnsi" w:cstheme="minorHAnsi"/>
                <w:iCs/>
                <w:szCs w:val="22"/>
                <w:lang w:val="fr-BE" w:bidi="fr-FR"/>
              </w:rPr>
              <w:t>la</w:t>
            </w:r>
            <w:r w:rsidRPr="00292A59">
              <w:rPr>
                <w:rFonts w:asciiTheme="minorHAnsi" w:eastAsia="Calibri" w:hAnsiTheme="minorHAnsi" w:cstheme="minorHAnsi"/>
                <w:iCs/>
                <w:szCs w:val="22"/>
                <w:lang w:val="fr-BE" w:bidi="fr-FR"/>
              </w:rPr>
              <w:t xml:space="preserve"> commission paritaire, afin d’assurer un suivi de la formation dans le secteur.</w:t>
            </w:r>
          </w:p>
          <w:p w14:paraId="18FA4C63" w14:textId="77777777" w:rsidR="00292A59" w:rsidRPr="00292A59" w:rsidRDefault="00292A59" w:rsidP="009C6D83">
            <w:pPr>
              <w:snapToGrid w:val="0"/>
              <w:spacing w:before="0" w:after="0" w:afterAutospacing="0"/>
              <w:ind w:right="0"/>
              <w:jc w:val="both"/>
              <w:rPr>
                <w:rFonts w:asciiTheme="minorHAnsi" w:eastAsia="Calibri" w:hAnsiTheme="minorHAnsi" w:cstheme="minorHAnsi"/>
                <w:iCs/>
                <w:szCs w:val="22"/>
                <w:lang w:val="fr-BE" w:bidi="fr-FR"/>
              </w:rPr>
            </w:pPr>
          </w:p>
          <w:p w14:paraId="68C8F3FD" w14:textId="24037917"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 xml:space="preserve">Les partenaires sociaux recommandent que le rapport entre formations « formelles » et « informelles » soit équilibré, et que les formations certificatives (la certification pouvant être interne à l’entreprise) soient </w:t>
            </w:r>
            <w:r w:rsidR="00292A59" w:rsidRPr="00292A59">
              <w:rPr>
                <w:rFonts w:asciiTheme="minorHAnsi" w:eastAsia="Calibri" w:hAnsiTheme="minorHAnsi" w:cstheme="minorHAnsi"/>
                <w:iCs/>
                <w:szCs w:val="22"/>
                <w:lang w:val="fr-BE" w:bidi="fr-FR"/>
              </w:rPr>
              <w:t>privilégiées</w:t>
            </w:r>
            <w:r w:rsidRPr="00292A59">
              <w:rPr>
                <w:rFonts w:asciiTheme="minorHAnsi" w:eastAsia="Calibri" w:hAnsiTheme="minorHAnsi" w:cstheme="minorHAnsi"/>
                <w:iCs/>
                <w:szCs w:val="22"/>
                <w:lang w:val="fr-BE" w:bidi="fr-FR"/>
              </w:rPr>
              <w:t>.</w:t>
            </w:r>
          </w:p>
          <w:p w14:paraId="23FF5E45" w14:textId="77777777" w:rsidR="00292A59" w:rsidRPr="00292A59" w:rsidRDefault="00292A59" w:rsidP="009C6D83">
            <w:pPr>
              <w:snapToGrid w:val="0"/>
              <w:spacing w:before="0" w:after="0" w:afterAutospacing="0"/>
              <w:ind w:right="0"/>
              <w:jc w:val="both"/>
              <w:rPr>
                <w:rFonts w:asciiTheme="minorHAnsi" w:eastAsia="Calibri" w:hAnsiTheme="minorHAnsi" w:cstheme="minorHAnsi"/>
                <w:iCs/>
                <w:szCs w:val="22"/>
                <w:lang w:val="fr-BE" w:bidi="fr-FR"/>
              </w:rPr>
            </w:pPr>
          </w:p>
          <w:p w14:paraId="00452CFF" w14:textId="55511E2C"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Si l’employeur ne propose pas un nombre de jours de formation suffisant sur l’année (au regard de la trajectoire de croissance), le nombre de jours manquants est reporté à l’année suivante. »</w:t>
            </w:r>
          </w:p>
          <w:p w14:paraId="327B2EAA" w14:textId="77777777" w:rsidR="00F91D8A" w:rsidRPr="00292A59" w:rsidRDefault="00F91D8A" w:rsidP="009C6D83">
            <w:pPr>
              <w:snapToGrid w:val="0"/>
              <w:spacing w:before="0" w:after="0" w:afterAutospacing="0"/>
              <w:ind w:right="0"/>
              <w:jc w:val="both"/>
              <w:rPr>
                <w:rFonts w:asciiTheme="minorHAnsi" w:eastAsia="Calibri" w:hAnsiTheme="minorHAnsi" w:cstheme="minorHAnsi"/>
                <w:iCs/>
                <w:szCs w:val="22"/>
                <w:lang w:val="fr-BE" w:bidi="fr-FR"/>
              </w:rPr>
            </w:pPr>
          </w:p>
          <w:p w14:paraId="2F4DB440" w14:textId="0375843F"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 xml:space="preserve">6. </w:t>
            </w:r>
            <w:r w:rsidR="00D61A20">
              <w:rPr>
                <w:rFonts w:asciiTheme="minorHAnsi" w:eastAsia="Calibri" w:hAnsiTheme="minorHAnsi" w:cstheme="minorHAnsi"/>
                <w:b/>
                <w:bCs/>
                <w:iCs/>
                <w:szCs w:val="22"/>
                <w:lang w:val="fr-BE" w:bidi="fr-FR"/>
              </w:rPr>
              <w:t>C</w:t>
            </w:r>
            <w:r w:rsidRPr="00292A59">
              <w:rPr>
                <w:rFonts w:asciiTheme="minorHAnsi" w:eastAsia="Calibri" w:hAnsiTheme="minorHAnsi" w:cstheme="minorHAnsi"/>
                <w:b/>
                <w:bCs/>
                <w:iCs/>
                <w:szCs w:val="22"/>
                <w:lang w:val="fr-BE" w:bidi="fr-FR"/>
              </w:rPr>
              <w:t>rédit-temps</w:t>
            </w:r>
            <w:r w:rsidR="00BA01B8">
              <w:rPr>
                <w:rFonts w:asciiTheme="minorHAnsi" w:eastAsia="Calibri" w:hAnsiTheme="minorHAnsi" w:cstheme="minorHAnsi"/>
                <w:b/>
                <w:bCs/>
                <w:iCs/>
                <w:szCs w:val="22"/>
                <w:lang w:val="fr-BE" w:bidi="fr-FR"/>
              </w:rPr>
              <w:t xml:space="preserve">, crédit temps de fin de carrière </w:t>
            </w:r>
            <w:r w:rsidRPr="00292A59">
              <w:rPr>
                <w:rFonts w:asciiTheme="minorHAnsi" w:eastAsia="Calibri" w:hAnsiTheme="minorHAnsi" w:cstheme="minorHAnsi"/>
                <w:b/>
                <w:bCs/>
                <w:iCs/>
                <w:szCs w:val="22"/>
                <w:lang w:val="fr-BE" w:bidi="fr-FR"/>
              </w:rPr>
              <w:t>et RCC</w:t>
            </w:r>
          </w:p>
          <w:p w14:paraId="5308C401" w14:textId="621CE5DA" w:rsidR="0068556E"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Les CCT existantes sont prolongées pour la durée de l’accord</w:t>
            </w:r>
          </w:p>
          <w:p w14:paraId="12544284" w14:textId="77777777"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p>
          <w:p w14:paraId="458887DC" w14:textId="77777777"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7. Deuxième pilier de pension</w:t>
            </w:r>
          </w:p>
          <w:p w14:paraId="21D0EED2" w14:textId="38CF20EA" w:rsidR="0068556E"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Les partenaires sociaux s’engagent à suivre les évolutions futures de la règlementation relative à l’harmonisation des pensions complémentaires pour les ouvriers et les employés et le cas échéant d’y intervenir de façon adéquate. Si nécessaire, des experts seront associés aux réflexions.</w:t>
            </w:r>
          </w:p>
          <w:p w14:paraId="7D2E8287" w14:textId="77777777" w:rsidR="00080CA8" w:rsidRPr="00292A59" w:rsidRDefault="00080CA8" w:rsidP="009C6D83">
            <w:pPr>
              <w:snapToGrid w:val="0"/>
              <w:spacing w:before="0" w:after="0" w:afterAutospacing="0"/>
              <w:ind w:right="0"/>
              <w:jc w:val="both"/>
              <w:rPr>
                <w:rFonts w:asciiTheme="minorHAnsi" w:eastAsia="Calibri" w:hAnsiTheme="minorHAnsi" w:cstheme="minorHAnsi"/>
                <w:iCs/>
                <w:szCs w:val="22"/>
                <w:lang w:val="fr-BE" w:bidi="fr-FR"/>
              </w:rPr>
            </w:pPr>
          </w:p>
          <w:p w14:paraId="5D3C5FCB" w14:textId="31AC171D" w:rsidR="001D65F8" w:rsidRPr="00BA01B8" w:rsidRDefault="00BA01B8" w:rsidP="009C6D83">
            <w:pPr>
              <w:snapToGrid w:val="0"/>
              <w:spacing w:before="0" w:after="0" w:afterAutospacing="0"/>
              <w:ind w:right="0"/>
              <w:jc w:val="both"/>
              <w:rPr>
                <w:rFonts w:asciiTheme="minorHAnsi" w:eastAsia="Calibri" w:hAnsiTheme="minorHAnsi" w:cstheme="minorHAnsi"/>
                <w:b/>
                <w:bCs/>
                <w:iCs/>
                <w:szCs w:val="22"/>
                <w:lang w:val="fr-BE" w:bidi="fr-FR"/>
              </w:rPr>
            </w:pPr>
            <w:r>
              <w:rPr>
                <w:rFonts w:asciiTheme="minorHAnsi" w:eastAsia="Calibri" w:hAnsiTheme="minorHAnsi" w:cstheme="minorHAnsi"/>
                <w:b/>
                <w:bCs/>
                <w:iCs/>
                <w:szCs w:val="22"/>
                <w:lang w:val="fr-BE" w:bidi="fr-FR"/>
              </w:rPr>
              <w:t xml:space="preserve">8. </w:t>
            </w:r>
            <w:r w:rsidR="001D65F8" w:rsidRPr="00BA01B8">
              <w:rPr>
                <w:rFonts w:asciiTheme="minorHAnsi" w:eastAsia="Calibri" w:hAnsiTheme="minorHAnsi" w:cstheme="minorHAnsi"/>
                <w:b/>
                <w:bCs/>
                <w:iCs/>
                <w:szCs w:val="22"/>
                <w:lang w:val="fr-BE" w:bidi="fr-FR"/>
              </w:rPr>
              <w:t>A</w:t>
            </w:r>
            <w:r w:rsidRPr="00BA01B8">
              <w:rPr>
                <w:rFonts w:asciiTheme="minorHAnsi" w:eastAsia="Calibri" w:hAnsiTheme="minorHAnsi" w:cstheme="minorHAnsi"/>
                <w:b/>
                <w:bCs/>
                <w:iCs/>
                <w:szCs w:val="22"/>
                <w:lang w:val="fr-BE" w:bidi="fr-FR"/>
              </w:rPr>
              <w:t>gressivité sur le lieu de travail</w:t>
            </w:r>
          </w:p>
          <w:p w14:paraId="7033C789" w14:textId="77777777" w:rsidR="001D65F8" w:rsidRPr="001D65F8" w:rsidRDefault="001D65F8" w:rsidP="009C6D83">
            <w:pPr>
              <w:snapToGrid w:val="0"/>
              <w:spacing w:before="0" w:after="0" w:afterAutospacing="0"/>
              <w:ind w:right="0"/>
              <w:jc w:val="both"/>
              <w:rPr>
                <w:rFonts w:asciiTheme="minorHAnsi" w:eastAsia="Calibri" w:hAnsiTheme="minorHAnsi" w:cstheme="minorHAnsi"/>
                <w:iCs/>
                <w:szCs w:val="22"/>
                <w:lang w:val="fr-BE" w:bidi="fr-FR"/>
              </w:rPr>
            </w:pPr>
            <w:r w:rsidRPr="001D65F8">
              <w:rPr>
                <w:rFonts w:asciiTheme="minorHAnsi" w:eastAsia="Calibri" w:hAnsiTheme="minorHAnsi" w:cstheme="minorHAnsi"/>
                <w:iCs/>
                <w:szCs w:val="22"/>
                <w:lang w:val="fr-BE" w:bidi="fr-FR"/>
              </w:rPr>
              <w:t xml:space="preserve">Les partenaires sociaux sont conscients de l’importance d’une politique de sécurité efficace dans les magasins pour que les </w:t>
            </w:r>
            <w:r w:rsidRPr="001D65F8">
              <w:rPr>
                <w:rFonts w:asciiTheme="minorHAnsi" w:eastAsia="Calibri" w:hAnsiTheme="minorHAnsi" w:cstheme="minorHAnsi"/>
                <w:iCs/>
                <w:szCs w:val="22"/>
                <w:lang w:val="fr-BE" w:bidi="fr-FR"/>
              </w:rPr>
              <w:lastRenderedPageBreak/>
              <w:t xml:space="preserve">employés puissent exercer leur métier dans un climat serein. </w:t>
            </w:r>
          </w:p>
          <w:p w14:paraId="331356BB" w14:textId="77777777" w:rsidR="00BA01B8" w:rsidRDefault="00BA01B8" w:rsidP="009C6D83">
            <w:pPr>
              <w:snapToGrid w:val="0"/>
              <w:spacing w:before="0" w:after="0" w:afterAutospacing="0"/>
              <w:ind w:right="0"/>
              <w:jc w:val="both"/>
              <w:rPr>
                <w:rFonts w:asciiTheme="minorHAnsi" w:eastAsia="Calibri" w:hAnsiTheme="minorHAnsi" w:cstheme="minorHAnsi"/>
                <w:iCs/>
                <w:szCs w:val="22"/>
                <w:lang w:val="fr-BE" w:bidi="fr-FR"/>
              </w:rPr>
            </w:pPr>
          </w:p>
          <w:p w14:paraId="0D7AB5FA" w14:textId="31FF880E" w:rsidR="001D65F8" w:rsidRPr="001D65F8" w:rsidRDefault="001D65F8" w:rsidP="009C6D83">
            <w:pPr>
              <w:snapToGrid w:val="0"/>
              <w:spacing w:before="0" w:after="0" w:afterAutospacing="0"/>
              <w:ind w:right="0"/>
              <w:jc w:val="both"/>
              <w:rPr>
                <w:rFonts w:asciiTheme="minorHAnsi" w:eastAsia="Calibri" w:hAnsiTheme="minorHAnsi" w:cstheme="minorHAnsi"/>
                <w:iCs/>
                <w:szCs w:val="22"/>
                <w:lang w:val="fr-BE" w:bidi="fr-FR"/>
              </w:rPr>
            </w:pPr>
            <w:r w:rsidRPr="001D65F8">
              <w:rPr>
                <w:rFonts w:asciiTheme="minorHAnsi" w:eastAsia="Calibri" w:hAnsiTheme="minorHAnsi" w:cstheme="minorHAnsi"/>
                <w:iCs/>
                <w:szCs w:val="22"/>
                <w:lang w:val="fr-BE" w:bidi="fr-FR"/>
              </w:rPr>
              <w:t>A partir du Fonds Social, ils s’engagent à discuter et réfléchir ensemble à une campagne de sensibilisation positive envers les clients.</w:t>
            </w:r>
          </w:p>
          <w:p w14:paraId="5549D131" w14:textId="77777777" w:rsidR="001D65F8" w:rsidRPr="00292A59" w:rsidRDefault="001D65F8" w:rsidP="009C6D83">
            <w:pPr>
              <w:snapToGrid w:val="0"/>
              <w:spacing w:before="0" w:after="0" w:afterAutospacing="0"/>
              <w:ind w:right="0"/>
              <w:jc w:val="both"/>
              <w:rPr>
                <w:rFonts w:asciiTheme="minorHAnsi" w:eastAsia="Calibri" w:hAnsiTheme="minorHAnsi" w:cstheme="minorHAnsi"/>
                <w:iCs/>
                <w:szCs w:val="22"/>
                <w:lang w:val="fr-BE" w:bidi="fr-FR"/>
              </w:rPr>
            </w:pPr>
          </w:p>
          <w:p w14:paraId="5F4A6446" w14:textId="77777777"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Paix sociale</w:t>
            </w:r>
          </w:p>
          <w:p w14:paraId="4B09B288" w14:textId="233BD68F" w:rsidR="000C2B70" w:rsidRDefault="000C2B70" w:rsidP="009C6D83">
            <w:pPr>
              <w:snapToGrid w:val="0"/>
              <w:spacing w:before="0" w:after="0" w:afterAutospacing="0"/>
              <w:ind w:right="0"/>
              <w:jc w:val="both"/>
              <w:rPr>
                <w:rFonts w:asciiTheme="minorHAnsi" w:eastAsia="Calibri" w:hAnsiTheme="minorHAnsi" w:cstheme="minorHAnsi"/>
                <w:iCs/>
                <w:szCs w:val="22"/>
                <w:lang w:val="fr-BE" w:bidi="fr-FR"/>
              </w:rPr>
            </w:pPr>
            <w:r w:rsidRPr="000C2B70">
              <w:rPr>
                <w:rFonts w:asciiTheme="minorHAnsi" w:eastAsia="Calibri" w:hAnsiTheme="minorHAnsi" w:cstheme="minorHAnsi"/>
                <w:iCs/>
                <w:szCs w:val="22"/>
                <w:lang w:val="fr-BE" w:bidi="fr-FR"/>
              </w:rPr>
              <w:t>Les travailleurs et les employeurs s’engagent à maintenir la paix sociale dans les entreprises pendant la durée de cet accord. Les parties n'introduiront aucune nouvelle revendication quant au contenu de l'accord au niveau du secteur ou de l'entreprise pendant la durée de cet accord.</w:t>
            </w:r>
          </w:p>
          <w:p w14:paraId="54FD116F" w14:textId="77777777" w:rsidR="000C2B70" w:rsidRDefault="000C2B70" w:rsidP="009C6D83">
            <w:pPr>
              <w:snapToGrid w:val="0"/>
              <w:spacing w:before="0" w:after="0" w:afterAutospacing="0"/>
              <w:ind w:right="0"/>
              <w:jc w:val="both"/>
              <w:rPr>
                <w:rFonts w:asciiTheme="minorHAnsi" w:eastAsia="Calibri" w:hAnsiTheme="minorHAnsi" w:cstheme="minorHAnsi"/>
                <w:iCs/>
                <w:szCs w:val="22"/>
                <w:lang w:val="fr-BE" w:bidi="fr-FR"/>
              </w:rPr>
            </w:pPr>
          </w:p>
          <w:p w14:paraId="206EEC84" w14:textId="77777777" w:rsidR="0068556E" w:rsidRPr="00292A59" w:rsidRDefault="0068556E" w:rsidP="009C6D83">
            <w:pPr>
              <w:snapToGrid w:val="0"/>
              <w:spacing w:before="0" w:after="0" w:afterAutospacing="0"/>
              <w:ind w:right="0"/>
              <w:jc w:val="both"/>
              <w:rPr>
                <w:rFonts w:asciiTheme="minorHAnsi" w:eastAsia="Calibri" w:hAnsiTheme="minorHAnsi" w:cstheme="minorHAnsi"/>
                <w:b/>
                <w:bCs/>
                <w:iCs/>
                <w:szCs w:val="22"/>
                <w:lang w:val="fr-BE" w:bidi="fr-FR"/>
              </w:rPr>
            </w:pPr>
            <w:r w:rsidRPr="00292A59">
              <w:rPr>
                <w:rFonts w:asciiTheme="minorHAnsi" w:eastAsia="Calibri" w:hAnsiTheme="minorHAnsi" w:cstheme="minorHAnsi"/>
                <w:b/>
                <w:bCs/>
                <w:iCs/>
                <w:szCs w:val="22"/>
                <w:lang w:val="fr-BE" w:bidi="fr-FR"/>
              </w:rPr>
              <w:t>Durée de l’accord</w:t>
            </w:r>
          </w:p>
          <w:p w14:paraId="5A7440DE" w14:textId="00B7CE3E"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r w:rsidRPr="00292A59">
              <w:rPr>
                <w:rFonts w:asciiTheme="minorHAnsi" w:eastAsia="Calibri" w:hAnsiTheme="minorHAnsi" w:cstheme="minorHAnsi"/>
                <w:iCs/>
                <w:szCs w:val="22"/>
                <w:lang w:val="fr-BE" w:bidi="fr-FR"/>
              </w:rPr>
              <w:t xml:space="preserve">Cet accord prend effet à partir du </w:t>
            </w:r>
            <w:r w:rsidR="00985CBD">
              <w:rPr>
                <w:rFonts w:asciiTheme="minorHAnsi" w:eastAsia="Calibri" w:hAnsiTheme="minorHAnsi" w:cstheme="minorHAnsi"/>
                <w:iCs/>
                <w:szCs w:val="22"/>
                <w:lang w:val="fr-BE" w:bidi="fr-FR"/>
              </w:rPr>
              <w:t>1</w:t>
            </w:r>
            <w:r w:rsidR="00985CBD" w:rsidRPr="00985CBD">
              <w:rPr>
                <w:rFonts w:asciiTheme="minorHAnsi" w:eastAsia="Calibri" w:hAnsiTheme="minorHAnsi" w:cstheme="minorHAnsi"/>
                <w:iCs/>
                <w:szCs w:val="22"/>
                <w:vertAlign w:val="superscript"/>
                <w:lang w:val="fr-BE" w:bidi="fr-FR"/>
              </w:rPr>
              <w:t>er</w:t>
            </w:r>
            <w:r w:rsidR="00985CBD">
              <w:rPr>
                <w:rFonts w:asciiTheme="minorHAnsi" w:eastAsia="Calibri" w:hAnsiTheme="minorHAnsi" w:cstheme="minorHAnsi"/>
                <w:iCs/>
                <w:szCs w:val="22"/>
                <w:lang w:val="fr-BE" w:bidi="fr-FR"/>
              </w:rPr>
              <w:t xml:space="preserve"> juillet 2023 </w:t>
            </w:r>
            <w:r w:rsidRPr="00292A59">
              <w:rPr>
                <w:rFonts w:asciiTheme="minorHAnsi" w:eastAsia="Calibri" w:hAnsiTheme="minorHAnsi" w:cstheme="minorHAnsi"/>
                <w:iCs/>
                <w:szCs w:val="22"/>
                <w:lang w:val="fr-BE" w:bidi="fr-FR"/>
              </w:rPr>
              <w:t xml:space="preserve">et cesse d’être en vigueur le </w:t>
            </w:r>
            <w:r w:rsidR="00985CBD">
              <w:rPr>
                <w:rFonts w:asciiTheme="minorHAnsi" w:eastAsia="Calibri" w:hAnsiTheme="minorHAnsi" w:cstheme="minorHAnsi"/>
                <w:iCs/>
                <w:szCs w:val="22"/>
                <w:lang w:val="fr-BE" w:bidi="fr-FR"/>
              </w:rPr>
              <w:t>30 juin 2025</w:t>
            </w:r>
            <w:r w:rsidRPr="00292A59">
              <w:rPr>
                <w:rFonts w:asciiTheme="minorHAnsi" w:eastAsia="Calibri" w:hAnsiTheme="minorHAnsi" w:cstheme="minorHAnsi"/>
                <w:iCs/>
                <w:szCs w:val="22"/>
                <w:lang w:val="fr-BE" w:bidi="fr-FR"/>
              </w:rPr>
              <w:t xml:space="preserve">, </w:t>
            </w:r>
            <w:r w:rsidR="00985CBD">
              <w:rPr>
                <w:rFonts w:asciiTheme="minorHAnsi" w:eastAsia="Calibri" w:hAnsiTheme="minorHAnsi" w:cstheme="minorHAnsi"/>
                <w:iCs/>
                <w:szCs w:val="22"/>
                <w:lang w:val="fr-BE" w:bidi="fr-FR"/>
              </w:rPr>
              <w:t>s</w:t>
            </w:r>
            <w:r w:rsidRPr="00292A59">
              <w:rPr>
                <w:rFonts w:asciiTheme="minorHAnsi" w:eastAsia="Calibri" w:hAnsiTheme="minorHAnsi" w:cstheme="minorHAnsi"/>
                <w:iCs/>
                <w:szCs w:val="22"/>
                <w:lang w:val="fr-BE" w:bidi="fr-FR"/>
              </w:rPr>
              <w:t>auf disposition contraire dument mentionnées</w:t>
            </w:r>
          </w:p>
          <w:p w14:paraId="38E97857" w14:textId="77777777" w:rsidR="0068556E" w:rsidRPr="00292A59" w:rsidRDefault="0068556E" w:rsidP="009C6D83">
            <w:pPr>
              <w:snapToGrid w:val="0"/>
              <w:spacing w:before="0" w:after="0" w:afterAutospacing="0"/>
              <w:ind w:right="0"/>
              <w:jc w:val="both"/>
              <w:rPr>
                <w:rFonts w:asciiTheme="minorHAnsi" w:eastAsia="Calibri" w:hAnsiTheme="minorHAnsi" w:cstheme="minorHAnsi"/>
                <w:iCs/>
                <w:szCs w:val="22"/>
                <w:lang w:val="fr-BE" w:bidi="fr-FR"/>
              </w:rPr>
            </w:pPr>
          </w:p>
          <w:p w14:paraId="6A0BA538" w14:textId="6EC49CC0" w:rsidR="00782CF4" w:rsidRPr="00782CF4" w:rsidRDefault="00782CF4" w:rsidP="006D458F">
            <w:pPr>
              <w:spacing w:before="0" w:after="0" w:afterAutospacing="0"/>
              <w:rPr>
                <w:lang w:val="fr-FR"/>
              </w:rPr>
            </w:pPr>
          </w:p>
        </w:tc>
        <w:tc>
          <w:tcPr>
            <w:tcW w:w="4429" w:type="dxa"/>
            <w:tcBorders>
              <w:left w:val="nil"/>
            </w:tcBorders>
          </w:tcPr>
          <w:p w14:paraId="5BCE50E6" w14:textId="78FF3764" w:rsidR="0068556E" w:rsidRPr="00A85F2D" w:rsidRDefault="0068556E" w:rsidP="009C6D83">
            <w:pPr>
              <w:spacing w:before="0" w:after="0" w:afterAutospacing="0"/>
              <w:ind w:right="0"/>
              <w:jc w:val="both"/>
              <w:rPr>
                <w:rFonts w:asciiTheme="minorHAnsi" w:hAnsiTheme="minorHAnsi" w:cstheme="minorHAnsi"/>
                <w:b/>
                <w:sz w:val="24"/>
                <w:szCs w:val="24"/>
                <w:lang w:val="fr-BE"/>
              </w:rPr>
            </w:pPr>
          </w:p>
        </w:tc>
      </w:tr>
      <w:tr w:rsidR="0068556E" w:rsidRPr="00D61A20" w14:paraId="0A97C36B" w14:textId="77777777" w:rsidTr="0062553E">
        <w:tc>
          <w:tcPr>
            <w:tcW w:w="4471" w:type="dxa"/>
            <w:tcBorders>
              <w:right w:val="single" w:sz="4" w:space="0" w:color="auto"/>
            </w:tcBorders>
          </w:tcPr>
          <w:p w14:paraId="1A646E94" w14:textId="78482893" w:rsidR="0068556E" w:rsidRPr="00A85F2D" w:rsidRDefault="0068556E" w:rsidP="009C6D83">
            <w:pPr>
              <w:pStyle w:val="Titre3"/>
              <w:spacing w:after="0" w:afterAutospacing="0"/>
              <w:ind w:right="0"/>
              <w:jc w:val="both"/>
              <w:rPr>
                <w:rFonts w:asciiTheme="minorHAnsi" w:hAnsiTheme="minorHAnsi" w:cstheme="minorHAnsi"/>
                <w:b/>
                <w:i w:val="0"/>
                <w:sz w:val="24"/>
                <w:szCs w:val="24"/>
                <w:lang w:val="fr-BE"/>
              </w:rPr>
            </w:pPr>
          </w:p>
        </w:tc>
        <w:tc>
          <w:tcPr>
            <w:tcW w:w="4429" w:type="dxa"/>
          </w:tcPr>
          <w:p w14:paraId="19F2DAC4" w14:textId="5B3E4652" w:rsidR="0068556E" w:rsidRPr="00A85F2D" w:rsidRDefault="0068556E" w:rsidP="009C6D83">
            <w:pPr>
              <w:snapToGrid w:val="0"/>
              <w:spacing w:before="0" w:after="0" w:afterAutospacing="0"/>
              <w:ind w:right="0"/>
              <w:jc w:val="both"/>
              <w:rPr>
                <w:rFonts w:asciiTheme="minorHAnsi" w:hAnsiTheme="minorHAnsi" w:cstheme="minorHAnsi"/>
                <w:b/>
                <w:i/>
                <w:sz w:val="24"/>
                <w:szCs w:val="24"/>
                <w:lang w:val="fr-FR"/>
              </w:rPr>
            </w:pPr>
          </w:p>
        </w:tc>
        <w:tc>
          <w:tcPr>
            <w:tcW w:w="4429" w:type="dxa"/>
            <w:tcBorders>
              <w:left w:val="nil"/>
            </w:tcBorders>
          </w:tcPr>
          <w:p w14:paraId="14BF511F" w14:textId="77777777" w:rsidR="0068556E" w:rsidRPr="00A85F2D" w:rsidRDefault="0068556E" w:rsidP="009C6D83">
            <w:pPr>
              <w:spacing w:before="0" w:after="0" w:afterAutospacing="0"/>
              <w:ind w:right="0"/>
              <w:jc w:val="both"/>
              <w:rPr>
                <w:rFonts w:asciiTheme="minorHAnsi" w:hAnsiTheme="minorHAnsi" w:cstheme="minorHAnsi"/>
                <w:sz w:val="24"/>
                <w:szCs w:val="24"/>
                <w:lang w:val="fr-BE"/>
              </w:rPr>
            </w:pPr>
          </w:p>
        </w:tc>
      </w:tr>
    </w:tbl>
    <w:p w14:paraId="6CF47166" w14:textId="77777777" w:rsidR="00982ED4" w:rsidRPr="00A85F2D" w:rsidRDefault="00982ED4" w:rsidP="009C6D83">
      <w:pPr>
        <w:spacing w:before="0" w:after="0" w:afterAutospacing="0"/>
        <w:jc w:val="both"/>
        <w:rPr>
          <w:rFonts w:asciiTheme="minorHAnsi" w:hAnsiTheme="minorHAnsi" w:cstheme="minorHAnsi"/>
          <w:sz w:val="24"/>
          <w:szCs w:val="24"/>
          <w:lang w:val="fr-BE"/>
        </w:rPr>
      </w:pPr>
    </w:p>
    <w:sectPr w:rsidR="00982ED4" w:rsidRPr="00A85F2D" w:rsidSect="001B1EB1">
      <w:headerReference w:type="default" r:id="rId11"/>
      <w:footerReference w:type="default" r:id="rId12"/>
      <w:headerReference w:type="first" r:id="rId13"/>
      <w:footerReference w:type="first" r:id="rId14"/>
      <w:type w:val="continuous"/>
      <w:pgSz w:w="11906" w:h="16838" w:code="9"/>
      <w:pgMar w:top="1701" w:right="1418" w:bottom="1701" w:left="1588" w:header="0" w:footer="851"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1058" w14:textId="77777777" w:rsidR="0028349B" w:rsidRDefault="0028349B">
      <w:r>
        <w:separator/>
      </w:r>
    </w:p>
  </w:endnote>
  <w:endnote w:type="continuationSeparator" w:id="0">
    <w:p w14:paraId="55115A06" w14:textId="77777777" w:rsidR="0028349B" w:rsidRDefault="0028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un-SemiBold">
    <w:charset w:val="00"/>
    <w:family w:val="auto"/>
    <w:pitch w:val="variable"/>
    <w:sig w:usb0="00000003" w:usb1="00000000" w:usb2="00000000" w:usb3="00000000" w:csb0="00000001" w:csb1="00000000"/>
  </w:font>
  <w:font w:name="Sun-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4"/>
        <w:szCs w:val="14"/>
      </w:rPr>
      <w:id w:val="-2068648813"/>
      <w:docPartObj>
        <w:docPartGallery w:val="Page Numbers (Bottom of Page)"/>
        <w:docPartUnique/>
      </w:docPartObj>
    </w:sdtPr>
    <w:sdtContent>
      <w:sdt>
        <w:sdtPr>
          <w:rPr>
            <w:rFonts w:ascii="Calibri" w:hAnsi="Calibri" w:cs="Calibri"/>
            <w:sz w:val="14"/>
            <w:szCs w:val="14"/>
          </w:rPr>
          <w:id w:val="806825240"/>
          <w:docPartObj>
            <w:docPartGallery w:val="Page Numbers (Top of Page)"/>
            <w:docPartUnique/>
          </w:docPartObj>
        </w:sdtPr>
        <w:sdtContent>
          <w:p w14:paraId="2296C1DB" w14:textId="77777777" w:rsidR="00927840" w:rsidRPr="004E23C7" w:rsidRDefault="00142A41" w:rsidP="004C78EA">
            <w:pPr>
              <w:pStyle w:val="Pieddepage"/>
              <w:tabs>
                <w:tab w:val="clear" w:pos="4153"/>
                <w:tab w:val="clear" w:pos="8306"/>
                <w:tab w:val="left" w:pos="0"/>
                <w:tab w:val="center" w:pos="4536"/>
                <w:tab w:val="right" w:pos="8931"/>
              </w:tabs>
              <w:spacing w:before="0" w:after="0" w:afterAutospacing="0"/>
              <w:ind w:right="0"/>
              <w:rPr>
                <w:rFonts w:ascii="Calibri" w:hAnsi="Calibri" w:cs="Calibri"/>
                <w:bCs/>
                <w:sz w:val="14"/>
                <w:szCs w:val="14"/>
                <w:lang w:val="fr-BE"/>
              </w:rPr>
            </w:pPr>
            <w:r w:rsidRPr="004E23C7">
              <w:rPr>
                <w:rFonts w:ascii="Calibri" w:hAnsi="Calibri" w:cs="Calibri"/>
                <w:sz w:val="14"/>
                <w:szCs w:val="14"/>
                <w:lang w:val="fr-BE"/>
              </w:rPr>
              <w:t>PC 201</w:t>
            </w:r>
            <w:r w:rsidR="004D1F05" w:rsidRPr="004E23C7">
              <w:rPr>
                <w:rFonts w:ascii="Calibri" w:hAnsi="Calibri" w:cs="Calibri"/>
                <w:sz w:val="14"/>
                <w:szCs w:val="14"/>
                <w:lang w:val="fr-BE"/>
              </w:rPr>
              <w:t xml:space="preserve"> </w:t>
            </w:r>
            <w:r w:rsidR="003365EE" w:rsidRPr="004E23C7">
              <w:rPr>
                <w:rFonts w:ascii="Calibri" w:hAnsi="Calibri" w:cs="Calibri"/>
                <w:sz w:val="14"/>
                <w:szCs w:val="14"/>
                <w:lang w:val="fr-BE"/>
              </w:rPr>
              <w:t>SECTOR</w:t>
            </w:r>
            <w:r w:rsidR="004D1F05" w:rsidRPr="004E23C7">
              <w:rPr>
                <w:rFonts w:ascii="Calibri" w:hAnsi="Calibri" w:cs="Calibri"/>
                <w:sz w:val="14"/>
                <w:szCs w:val="14"/>
                <w:lang w:val="fr-BE"/>
              </w:rPr>
              <w:t>AKKOORD</w:t>
            </w:r>
            <w:r w:rsidR="004D1F05" w:rsidRPr="004E23C7">
              <w:rPr>
                <w:rFonts w:ascii="Calibri" w:hAnsi="Calibri" w:cs="Calibri"/>
                <w:sz w:val="14"/>
                <w:szCs w:val="14"/>
                <w:lang w:val="fr-BE"/>
              </w:rPr>
              <w:tab/>
            </w:r>
            <w:r w:rsidR="002A7068" w:rsidRPr="004E23C7">
              <w:rPr>
                <w:rFonts w:ascii="Calibri" w:hAnsi="Calibri" w:cs="Calibri"/>
                <w:bCs/>
                <w:sz w:val="14"/>
                <w:szCs w:val="14"/>
              </w:rPr>
              <w:fldChar w:fldCharType="begin"/>
            </w:r>
            <w:r w:rsidR="004D1F05" w:rsidRPr="004E23C7">
              <w:rPr>
                <w:rFonts w:ascii="Calibri" w:hAnsi="Calibri" w:cs="Calibri"/>
                <w:bCs/>
                <w:sz w:val="14"/>
                <w:szCs w:val="14"/>
                <w:lang w:val="fr-BE"/>
              </w:rPr>
              <w:instrText xml:space="preserve"> PAGE </w:instrText>
            </w:r>
            <w:r w:rsidR="002A7068" w:rsidRPr="004E23C7">
              <w:rPr>
                <w:rFonts w:ascii="Calibri" w:hAnsi="Calibri" w:cs="Calibri"/>
                <w:bCs/>
                <w:sz w:val="14"/>
                <w:szCs w:val="14"/>
              </w:rPr>
              <w:fldChar w:fldCharType="separate"/>
            </w:r>
            <w:r w:rsidR="001844EA">
              <w:rPr>
                <w:rFonts w:ascii="Calibri" w:hAnsi="Calibri" w:cs="Calibri"/>
                <w:bCs/>
                <w:noProof/>
                <w:sz w:val="14"/>
                <w:szCs w:val="14"/>
                <w:lang w:val="fr-BE"/>
              </w:rPr>
              <w:t>1</w:t>
            </w:r>
            <w:r w:rsidR="002A7068" w:rsidRPr="004E23C7">
              <w:rPr>
                <w:rFonts w:ascii="Calibri" w:hAnsi="Calibri" w:cs="Calibri"/>
                <w:bCs/>
                <w:sz w:val="14"/>
                <w:szCs w:val="14"/>
              </w:rPr>
              <w:fldChar w:fldCharType="end"/>
            </w:r>
            <w:r w:rsidR="004D1F05" w:rsidRPr="004E23C7">
              <w:rPr>
                <w:rFonts w:ascii="Calibri" w:hAnsi="Calibri" w:cs="Calibri"/>
                <w:bCs/>
                <w:sz w:val="14"/>
                <w:szCs w:val="14"/>
                <w:lang w:val="fr-BE"/>
              </w:rPr>
              <w:t>/</w:t>
            </w:r>
            <w:r w:rsidR="002A7068" w:rsidRPr="004E23C7">
              <w:rPr>
                <w:rFonts w:ascii="Calibri" w:hAnsi="Calibri" w:cs="Calibri"/>
                <w:bCs/>
                <w:sz w:val="14"/>
                <w:szCs w:val="14"/>
              </w:rPr>
              <w:fldChar w:fldCharType="begin"/>
            </w:r>
            <w:r w:rsidR="004D1F05" w:rsidRPr="004E23C7">
              <w:rPr>
                <w:rFonts w:ascii="Calibri" w:hAnsi="Calibri" w:cs="Calibri"/>
                <w:bCs/>
                <w:sz w:val="14"/>
                <w:szCs w:val="14"/>
                <w:lang w:val="fr-BE"/>
              </w:rPr>
              <w:instrText xml:space="preserve"> NUMPAGES  </w:instrText>
            </w:r>
            <w:r w:rsidR="002A7068" w:rsidRPr="004E23C7">
              <w:rPr>
                <w:rFonts w:ascii="Calibri" w:hAnsi="Calibri" w:cs="Calibri"/>
                <w:bCs/>
                <w:sz w:val="14"/>
                <w:szCs w:val="14"/>
              </w:rPr>
              <w:fldChar w:fldCharType="separate"/>
            </w:r>
            <w:r w:rsidR="001844EA">
              <w:rPr>
                <w:rFonts w:ascii="Calibri" w:hAnsi="Calibri" w:cs="Calibri"/>
                <w:bCs/>
                <w:noProof/>
                <w:sz w:val="14"/>
                <w:szCs w:val="14"/>
                <w:lang w:val="fr-BE"/>
              </w:rPr>
              <w:t>7</w:t>
            </w:r>
            <w:r w:rsidR="002A7068" w:rsidRPr="004E23C7">
              <w:rPr>
                <w:rFonts w:ascii="Calibri" w:hAnsi="Calibri" w:cs="Calibri"/>
                <w:bCs/>
                <w:sz w:val="14"/>
                <w:szCs w:val="14"/>
              </w:rPr>
              <w:fldChar w:fldCharType="end"/>
            </w:r>
            <w:r w:rsidRPr="004E23C7">
              <w:rPr>
                <w:rFonts w:ascii="Calibri" w:hAnsi="Calibri" w:cs="Calibri"/>
                <w:bCs/>
                <w:sz w:val="14"/>
                <w:szCs w:val="14"/>
                <w:lang w:val="fr-BE"/>
              </w:rPr>
              <w:tab/>
              <w:t>CP 201</w:t>
            </w:r>
            <w:r w:rsidR="003365EE" w:rsidRPr="004E23C7">
              <w:rPr>
                <w:rFonts w:ascii="Calibri" w:hAnsi="Calibri" w:cs="Calibri"/>
                <w:bCs/>
                <w:sz w:val="14"/>
                <w:szCs w:val="14"/>
                <w:lang w:val="fr-BE"/>
              </w:rPr>
              <w:t xml:space="preserve"> </w:t>
            </w:r>
            <w:r w:rsidR="004D1F05" w:rsidRPr="004E23C7">
              <w:rPr>
                <w:rFonts w:ascii="Calibri" w:hAnsi="Calibri" w:cs="Calibri"/>
                <w:bCs/>
                <w:sz w:val="14"/>
                <w:szCs w:val="14"/>
                <w:lang w:val="fr-BE"/>
              </w:rPr>
              <w:t>ACCORD</w:t>
            </w:r>
            <w:r w:rsidR="003365EE" w:rsidRPr="004E23C7">
              <w:rPr>
                <w:rFonts w:ascii="Calibri" w:hAnsi="Calibri" w:cs="Calibri"/>
                <w:bCs/>
                <w:sz w:val="14"/>
                <w:szCs w:val="14"/>
                <w:lang w:val="fr-BE"/>
              </w:rPr>
              <w:t xml:space="preserve"> SECTORIEL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0B5" w14:textId="77777777" w:rsidR="00927840" w:rsidRPr="007833BD" w:rsidRDefault="00927840" w:rsidP="008F1635">
    <w:pPr>
      <w:autoSpaceDE w:val="0"/>
      <w:autoSpaceDN w:val="0"/>
      <w:adjustRightInd w:val="0"/>
      <w:spacing w:before="0" w:after="0" w:afterAutospacing="0"/>
      <w:ind w:right="0"/>
      <w:rPr>
        <w:rFonts w:asciiTheme="minorHAnsi" w:hAnsiTheme="minorHAnsi" w:cs="Sun-Regular"/>
        <w:color w:val="73797C"/>
        <w:sz w:val="16"/>
        <w:szCs w:val="16"/>
        <w:lang w:eastAsia="zh-CN"/>
      </w:rPr>
    </w:pPr>
    <w:r w:rsidRPr="00CD259E">
      <w:rPr>
        <w:rFonts w:asciiTheme="minorHAnsi" w:hAnsiTheme="minorHAnsi" w:cs="Sun-SemiBold"/>
        <w:b/>
        <w:bCs/>
        <w:noProof/>
        <w:color w:val="73797C"/>
        <w:sz w:val="16"/>
        <w:szCs w:val="16"/>
        <w:lang w:eastAsia="nl-BE"/>
      </w:rPr>
      <w:object w:dxaOrig="10874" w:dyaOrig="269" w14:anchorId="4E45F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13.5pt">
          <v:imagedata r:id="rId1" o:title=""/>
        </v:shape>
        <o:OLEObject Type="Embed" ProgID="Word.Document.12" ShapeID="_x0000_i1025" DrawAspect="Content" ObjectID="_1763238170" r:id="rId2">
          <o:FieldCodes>\s</o:FieldCodes>
        </o:OLEObject>
      </w:object>
    </w:r>
  </w:p>
  <w:p w14:paraId="5198C4DF" w14:textId="77777777" w:rsidR="00927840" w:rsidRDefault="00927840" w:rsidP="00EF1B31">
    <w:pPr>
      <w:pStyle w:val="Pieddepage"/>
      <w:ind w:right="-31"/>
    </w:pPr>
  </w:p>
  <w:p w14:paraId="6CC58609" w14:textId="77777777" w:rsidR="00927840" w:rsidRPr="00933E12" w:rsidRDefault="00927840" w:rsidP="00933E12">
    <w:pPr>
      <w:autoSpaceDE w:val="0"/>
      <w:autoSpaceDN w:val="0"/>
      <w:adjustRightInd w:val="0"/>
      <w:spacing w:before="0" w:after="0" w:afterAutospacing="0"/>
      <w:ind w:right="0"/>
      <w:rPr>
        <w:rFonts w:asciiTheme="majorHAnsi" w:hAnsiTheme="majorHAnsi" w:cs="Sun-Regular"/>
        <w:color w:val="73797C"/>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DD4D" w14:textId="77777777" w:rsidR="0028349B" w:rsidRDefault="0028349B">
      <w:r>
        <w:separator/>
      </w:r>
    </w:p>
  </w:footnote>
  <w:footnote w:type="continuationSeparator" w:id="0">
    <w:p w14:paraId="60C5AC0B" w14:textId="77777777" w:rsidR="0028349B" w:rsidRDefault="0028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A896" w14:textId="77777777" w:rsidR="00927840" w:rsidRDefault="00927840">
    <w:pPr>
      <w:pStyle w:val="En-tte"/>
      <w:ind w:right="-3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8EBB" w14:textId="77777777" w:rsidR="00927840" w:rsidRDefault="00927840">
    <w:pPr>
      <w:pStyle w:val="En-tte"/>
      <w:ind w:left="400" w:right="-31"/>
      <w:rPr>
        <w:sz w:val="16"/>
      </w:rPr>
    </w:pPr>
  </w:p>
  <w:p w14:paraId="2739612B" w14:textId="77777777" w:rsidR="00927840" w:rsidRDefault="00927840">
    <w:pPr>
      <w:pStyle w:val="En-tte"/>
      <w:ind w:left="400" w:right="-31"/>
      <w:rPr>
        <w:sz w:val="16"/>
      </w:rPr>
    </w:pPr>
  </w:p>
  <w:p w14:paraId="5F51822A" w14:textId="77777777" w:rsidR="00927840" w:rsidRDefault="00CC0ED0">
    <w:pPr>
      <w:pStyle w:val="En-tte"/>
      <w:ind w:right="-31"/>
      <w:rPr>
        <w:sz w:val="24"/>
      </w:rPr>
    </w:pPr>
    <w:r>
      <w:rPr>
        <w:noProof/>
        <w:sz w:val="16"/>
        <w:lang w:val="fr-BE" w:eastAsia="fr-BE"/>
      </w:rPr>
      <w:drawing>
        <wp:anchor distT="0" distB="0" distL="114300" distR="114300" simplePos="0" relativeHeight="251657216" behindDoc="1" locked="1" layoutInCell="1" allowOverlap="1" wp14:anchorId="549DCB5C" wp14:editId="448F7345">
          <wp:simplePos x="0" y="0"/>
          <wp:positionH relativeFrom="page">
            <wp:align>left</wp:align>
          </wp:positionH>
          <wp:positionV relativeFrom="page">
            <wp:align>top</wp:align>
          </wp:positionV>
          <wp:extent cx="7556500" cy="10693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os_Briefpapi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4EC"/>
    <w:multiLevelType w:val="hybridMultilevel"/>
    <w:tmpl w:val="63A4F1E0"/>
    <w:lvl w:ilvl="0" w:tplc="8AFE9606">
      <w:start w:val="1"/>
      <w:numFmt w:val="bullet"/>
      <w:pStyle w:val="Bulleted"/>
      <w:lvlText w:val=""/>
      <w:lvlJc w:val="left"/>
      <w:pPr>
        <w:tabs>
          <w:tab w:val="num" w:pos="2381"/>
        </w:tabs>
        <w:ind w:left="2381"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4511E"/>
    <w:multiLevelType w:val="hybridMultilevel"/>
    <w:tmpl w:val="9BE09164"/>
    <w:lvl w:ilvl="0" w:tplc="2E3642F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DF6A5A"/>
    <w:multiLevelType w:val="hybridMultilevel"/>
    <w:tmpl w:val="996C3CE4"/>
    <w:lvl w:ilvl="0" w:tplc="316C8298">
      <w:start w:val="1"/>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535E4"/>
    <w:multiLevelType w:val="hybridMultilevel"/>
    <w:tmpl w:val="3678F7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201674"/>
    <w:multiLevelType w:val="hybridMultilevel"/>
    <w:tmpl w:val="4C8893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F6010B0"/>
    <w:multiLevelType w:val="multilevel"/>
    <w:tmpl w:val="B0146566"/>
    <w:lvl w:ilvl="0">
      <w:start w:val="1"/>
      <w:numFmt w:val="decimal"/>
      <w:pStyle w:val="Numbering"/>
      <w:lvlText w:val="%1."/>
      <w:lvlJc w:val="left"/>
      <w:pPr>
        <w:tabs>
          <w:tab w:val="num" w:pos="1854"/>
        </w:tabs>
        <w:ind w:left="1854" w:hanging="454"/>
      </w:pPr>
      <w:rPr>
        <w:rFonts w:hint="default"/>
      </w:rPr>
    </w:lvl>
    <w:lvl w:ilvl="1">
      <w:start w:val="1"/>
      <w:numFmt w:val="decimal"/>
      <w:lvlText w:val="%1.%2."/>
      <w:lvlJc w:val="left"/>
      <w:pPr>
        <w:tabs>
          <w:tab w:val="num" w:pos="2500"/>
        </w:tabs>
        <w:ind w:left="2500" w:hanging="646"/>
      </w:pPr>
      <w:rPr>
        <w:rFonts w:hint="default"/>
      </w:rPr>
    </w:lvl>
    <w:lvl w:ilvl="2">
      <w:start w:val="1"/>
      <w:numFmt w:val="decimal"/>
      <w:lvlText w:val="%1.%2.%3."/>
      <w:lvlJc w:val="left"/>
      <w:pPr>
        <w:tabs>
          <w:tab w:val="num" w:pos="2852"/>
        </w:tabs>
        <w:ind w:left="2852" w:hanging="799"/>
      </w:pPr>
      <w:rPr>
        <w:rFonts w:hint="default"/>
      </w:rPr>
    </w:lvl>
    <w:lvl w:ilvl="3">
      <w:start w:val="1"/>
      <w:numFmt w:val="decimal"/>
      <w:lvlText w:val="%1.%2.%3.%4."/>
      <w:lvlJc w:val="left"/>
      <w:pPr>
        <w:tabs>
          <w:tab w:val="num" w:pos="3385"/>
        </w:tabs>
        <w:ind w:left="3385" w:hanging="964"/>
      </w:pPr>
      <w:rPr>
        <w:rFonts w:hint="default"/>
      </w:rPr>
    </w:lvl>
    <w:lvl w:ilvl="4">
      <w:start w:val="1"/>
      <w:numFmt w:val="decimal"/>
      <w:lvlText w:val="%1.%2.%3.%4.%5."/>
      <w:lvlJc w:val="left"/>
      <w:pPr>
        <w:tabs>
          <w:tab w:val="num" w:pos="8773"/>
        </w:tabs>
        <w:ind w:left="8773" w:hanging="792"/>
      </w:pPr>
      <w:rPr>
        <w:rFonts w:hint="default"/>
      </w:rPr>
    </w:lvl>
    <w:lvl w:ilvl="5">
      <w:start w:val="1"/>
      <w:numFmt w:val="decimal"/>
      <w:lvlText w:val="%1.%2.%3.%4.%5.%6."/>
      <w:lvlJc w:val="left"/>
      <w:pPr>
        <w:tabs>
          <w:tab w:val="num" w:pos="9277"/>
        </w:tabs>
        <w:ind w:left="9277" w:hanging="936"/>
      </w:pPr>
      <w:rPr>
        <w:rFonts w:hint="default"/>
      </w:rPr>
    </w:lvl>
    <w:lvl w:ilvl="6">
      <w:start w:val="1"/>
      <w:numFmt w:val="decimal"/>
      <w:lvlText w:val="%1.%2.%3.%4.%5.%6.%7."/>
      <w:lvlJc w:val="left"/>
      <w:pPr>
        <w:tabs>
          <w:tab w:val="num" w:pos="10141"/>
        </w:tabs>
        <w:ind w:left="9781" w:hanging="1080"/>
      </w:pPr>
      <w:rPr>
        <w:rFonts w:hint="default"/>
      </w:rPr>
    </w:lvl>
    <w:lvl w:ilvl="7">
      <w:start w:val="1"/>
      <w:numFmt w:val="decimal"/>
      <w:lvlText w:val="%1.%2.%3.%4.%5.%6.%7.%8."/>
      <w:lvlJc w:val="left"/>
      <w:pPr>
        <w:tabs>
          <w:tab w:val="num" w:pos="10501"/>
        </w:tabs>
        <w:ind w:left="10285" w:hanging="1224"/>
      </w:pPr>
      <w:rPr>
        <w:rFonts w:hint="default"/>
      </w:rPr>
    </w:lvl>
    <w:lvl w:ilvl="8">
      <w:start w:val="1"/>
      <w:numFmt w:val="decimal"/>
      <w:lvlText w:val="%1.%2.%3.%4.%5.%6.%7.%8.%9."/>
      <w:lvlJc w:val="left"/>
      <w:pPr>
        <w:tabs>
          <w:tab w:val="num" w:pos="10861"/>
        </w:tabs>
        <w:ind w:left="10861" w:hanging="1440"/>
      </w:pPr>
      <w:rPr>
        <w:rFonts w:hint="default"/>
      </w:rPr>
    </w:lvl>
  </w:abstractNum>
  <w:abstractNum w:abstractNumId="6" w15:restartNumberingAfterBreak="0">
    <w:nsid w:val="47276E31"/>
    <w:multiLevelType w:val="hybridMultilevel"/>
    <w:tmpl w:val="5A8C4000"/>
    <w:lvl w:ilvl="0" w:tplc="A434D0FA">
      <w:numFmt w:val="bullet"/>
      <w:lvlText w:val="-"/>
      <w:lvlJc w:val="left"/>
      <w:pPr>
        <w:ind w:left="360" w:hanging="360"/>
      </w:pPr>
      <w:rPr>
        <w:rFonts w:ascii="Calibri" w:eastAsiaTheme="minorHAnsi" w:hAnsi="Calibri"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F077E81"/>
    <w:multiLevelType w:val="hybridMultilevel"/>
    <w:tmpl w:val="F5F69966"/>
    <w:lvl w:ilvl="0" w:tplc="73A6337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CB4750F"/>
    <w:multiLevelType w:val="hybridMultilevel"/>
    <w:tmpl w:val="26781C02"/>
    <w:lvl w:ilvl="0" w:tplc="16643FA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05363B5"/>
    <w:multiLevelType w:val="hybridMultilevel"/>
    <w:tmpl w:val="C4CECBD8"/>
    <w:lvl w:ilvl="0" w:tplc="D77EBF0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100F2"/>
    <w:multiLevelType w:val="hybridMultilevel"/>
    <w:tmpl w:val="EF2E6200"/>
    <w:lvl w:ilvl="0" w:tplc="D77EBF0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51C56"/>
    <w:multiLevelType w:val="hybridMultilevel"/>
    <w:tmpl w:val="736C6F30"/>
    <w:lvl w:ilvl="0" w:tplc="A434D0F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D74C1"/>
    <w:multiLevelType w:val="multilevel"/>
    <w:tmpl w:val="B9E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863069">
    <w:abstractNumId w:val="0"/>
  </w:num>
  <w:num w:numId="2" w16cid:durableId="569652802">
    <w:abstractNumId w:val="5"/>
  </w:num>
  <w:num w:numId="3" w16cid:durableId="363870820">
    <w:abstractNumId w:val="10"/>
  </w:num>
  <w:num w:numId="4" w16cid:durableId="909076285">
    <w:abstractNumId w:val="9"/>
  </w:num>
  <w:num w:numId="5" w16cid:durableId="1204518406">
    <w:abstractNumId w:val="10"/>
  </w:num>
  <w:num w:numId="6" w16cid:durableId="964384304">
    <w:abstractNumId w:val="2"/>
  </w:num>
  <w:num w:numId="7" w16cid:durableId="2026832024">
    <w:abstractNumId w:val="6"/>
  </w:num>
  <w:num w:numId="8" w16cid:durableId="2103645294">
    <w:abstractNumId w:val="11"/>
  </w:num>
  <w:num w:numId="9" w16cid:durableId="1147941614">
    <w:abstractNumId w:val="12"/>
  </w:num>
  <w:num w:numId="10" w16cid:durableId="735323820">
    <w:abstractNumId w:val="7"/>
  </w:num>
  <w:num w:numId="11" w16cid:durableId="1051071706">
    <w:abstractNumId w:val="8"/>
  </w:num>
  <w:num w:numId="12" w16cid:durableId="638850902">
    <w:abstractNumId w:val="1"/>
  </w:num>
  <w:num w:numId="13" w16cid:durableId="302583475">
    <w:abstractNumId w:val="3"/>
  </w:num>
  <w:num w:numId="14" w16cid:durableId="191438750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nl-BE" w:vendorID="64" w:dllVersion="0" w:nlCheck="1" w:checkStyle="0"/>
  <w:activeWritingStyle w:appName="MSWord" w:lang="fr-BE" w:vendorID="64" w:dllVersion="0" w:nlCheck="1" w:checkStyle="0"/>
  <w:activeWritingStyle w:appName="MSWord" w:lang="fr-FR" w:vendorID="64" w:dllVersion="0" w:nlCheck="1" w:checkStyle="0"/>
  <w:activeWritingStyle w:appName="MSWord" w:lang="nl-BE" w:vendorID="64" w:dllVersion="6" w:nlCheck="1" w:checkStyle="0"/>
  <w:activeWritingStyle w:appName="MSWord" w:lang="fr-BE" w:vendorID="64" w:dllVersion="6" w:nlCheck="1" w:checkStyle="0"/>
  <w:activeWritingStyle w:appName="MSWord" w:lang="fr-FR" w:vendorID="64" w:dllVersion="6" w:nlCheck="1" w:checkStyle="0"/>
  <w:activeWritingStyle w:appName="MSWord" w:lang="nl-NL" w:vendorID="64" w:dllVersion="6" w:nlCheck="1" w:checkStyle="0"/>
  <w:activeWritingStyle w:appName="MSWord" w:lang="en-US" w:vendorID="64" w:dllVersion="6"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C5"/>
    <w:rsid w:val="000066D8"/>
    <w:rsid w:val="0001205B"/>
    <w:rsid w:val="00023E16"/>
    <w:rsid w:val="000279BF"/>
    <w:rsid w:val="00030F3A"/>
    <w:rsid w:val="0003312D"/>
    <w:rsid w:val="00033E88"/>
    <w:rsid w:val="00046B38"/>
    <w:rsid w:val="00046B55"/>
    <w:rsid w:val="00047899"/>
    <w:rsid w:val="00067F13"/>
    <w:rsid w:val="00080CA8"/>
    <w:rsid w:val="00086707"/>
    <w:rsid w:val="00087041"/>
    <w:rsid w:val="00087592"/>
    <w:rsid w:val="000A01A7"/>
    <w:rsid w:val="000A7A58"/>
    <w:rsid w:val="000B2E5A"/>
    <w:rsid w:val="000C2B70"/>
    <w:rsid w:val="000C7CD8"/>
    <w:rsid w:val="000D0E8E"/>
    <w:rsid w:val="000D18F0"/>
    <w:rsid w:val="000D31E1"/>
    <w:rsid w:val="000E38D5"/>
    <w:rsid w:val="000E69B1"/>
    <w:rsid w:val="000E7769"/>
    <w:rsid w:val="000F4B22"/>
    <w:rsid w:val="000F72D1"/>
    <w:rsid w:val="0010140E"/>
    <w:rsid w:val="00101A16"/>
    <w:rsid w:val="00101B0D"/>
    <w:rsid w:val="00103A35"/>
    <w:rsid w:val="0010449C"/>
    <w:rsid w:val="00105D4C"/>
    <w:rsid w:val="001071FE"/>
    <w:rsid w:val="001159FC"/>
    <w:rsid w:val="00116375"/>
    <w:rsid w:val="001208BD"/>
    <w:rsid w:val="00122A0D"/>
    <w:rsid w:val="00126466"/>
    <w:rsid w:val="00131CB6"/>
    <w:rsid w:val="0013473B"/>
    <w:rsid w:val="00134E89"/>
    <w:rsid w:val="00136D95"/>
    <w:rsid w:val="0013709E"/>
    <w:rsid w:val="001370A4"/>
    <w:rsid w:val="00141353"/>
    <w:rsid w:val="00142A41"/>
    <w:rsid w:val="00150960"/>
    <w:rsid w:val="00154466"/>
    <w:rsid w:val="0016250F"/>
    <w:rsid w:val="00165675"/>
    <w:rsid w:val="00167210"/>
    <w:rsid w:val="0016783F"/>
    <w:rsid w:val="00171268"/>
    <w:rsid w:val="00174E83"/>
    <w:rsid w:val="00174F3B"/>
    <w:rsid w:val="001772DC"/>
    <w:rsid w:val="00181338"/>
    <w:rsid w:val="001819F2"/>
    <w:rsid w:val="001838C1"/>
    <w:rsid w:val="001844EA"/>
    <w:rsid w:val="0019635C"/>
    <w:rsid w:val="001A4D77"/>
    <w:rsid w:val="001B0DA2"/>
    <w:rsid w:val="001B1EB1"/>
    <w:rsid w:val="001B4245"/>
    <w:rsid w:val="001D5FDA"/>
    <w:rsid w:val="001D65F8"/>
    <w:rsid w:val="001E093B"/>
    <w:rsid w:val="0020109B"/>
    <w:rsid w:val="0020255E"/>
    <w:rsid w:val="00202F61"/>
    <w:rsid w:val="00203EFD"/>
    <w:rsid w:val="002040E6"/>
    <w:rsid w:val="00204ACB"/>
    <w:rsid w:val="002068B7"/>
    <w:rsid w:val="002110B5"/>
    <w:rsid w:val="00217C84"/>
    <w:rsid w:val="00221CE1"/>
    <w:rsid w:val="00224F2D"/>
    <w:rsid w:val="00231707"/>
    <w:rsid w:val="0024367C"/>
    <w:rsid w:val="002513B7"/>
    <w:rsid w:val="00251F27"/>
    <w:rsid w:val="00253F23"/>
    <w:rsid w:val="00257A4F"/>
    <w:rsid w:val="002608E9"/>
    <w:rsid w:val="002611BB"/>
    <w:rsid w:val="00264DE3"/>
    <w:rsid w:val="00265BC8"/>
    <w:rsid w:val="00273860"/>
    <w:rsid w:val="00274422"/>
    <w:rsid w:val="0028349B"/>
    <w:rsid w:val="00283F18"/>
    <w:rsid w:val="002920C2"/>
    <w:rsid w:val="00292A59"/>
    <w:rsid w:val="00293622"/>
    <w:rsid w:val="00295941"/>
    <w:rsid w:val="002A3249"/>
    <w:rsid w:val="002A7068"/>
    <w:rsid w:val="002C117B"/>
    <w:rsid w:val="002C3E4D"/>
    <w:rsid w:val="002D4DA7"/>
    <w:rsid w:val="002D78B5"/>
    <w:rsid w:val="002E03B1"/>
    <w:rsid w:val="002E284B"/>
    <w:rsid w:val="002E5333"/>
    <w:rsid w:val="002E6A65"/>
    <w:rsid w:val="00303021"/>
    <w:rsid w:val="00310D0F"/>
    <w:rsid w:val="00313594"/>
    <w:rsid w:val="00313CF5"/>
    <w:rsid w:val="00315E9F"/>
    <w:rsid w:val="00322FF6"/>
    <w:rsid w:val="003240C7"/>
    <w:rsid w:val="00324BCB"/>
    <w:rsid w:val="003301ED"/>
    <w:rsid w:val="00331BBD"/>
    <w:rsid w:val="003352EC"/>
    <w:rsid w:val="003365EE"/>
    <w:rsid w:val="00341A47"/>
    <w:rsid w:val="00345CB0"/>
    <w:rsid w:val="00350CFF"/>
    <w:rsid w:val="00351057"/>
    <w:rsid w:val="003556B6"/>
    <w:rsid w:val="0035582B"/>
    <w:rsid w:val="0036009A"/>
    <w:rsid w:val="00362609"/>
    <w:rsid w:val="003638D5"/>
    <w:rsid w:val="003A24D5"/>
    <w:rsid w:val="003B162F"/>
    <w:rsid w:val="003B6185"/>
    <w:rsid w:val="003C0596"/>
    <w:rsid w:val="003C115D"/>
    <w:rsid w:val="003D1E43"/>
    <w:rsid w:val="003D3F1B"/>
    <w:rsid w:val="003D62DA"/>
    <w:rsid w:val="003D70CE"/>
    <w:rsid w:val="003E46CA"/>
    <w:rsid w:val="003E7648"/>
    <w:rsid w:val="003F42A4"/>
    <w:rsid w:val="00401398"/>
    <w:rsid w:val="00404848"/>
    <w:rsid w:val="00404C70"/>
    <w:rsid w:val="0041667C"/>
    <w:rsid w:val="00435FEC"/>
    <w:rsid w:val="004448BE"/>
    <w:rsid w:val="00456D6C"/>
    <w:rsid w:val="00461823"/>
    <w:rsid w:val="00461D27"/>
    <w:rsid w:val="00463AAB"/>
    <w:rsid w:val="00466655"/>
    <w:rsid w:val="00475F85"/>
    <w:rsid w:val="0048320B"/>
    <w:rsid w:val="0048492C"/>
    <w:rsid w:val="00492F34"/>
    <w:rsid w:val="00496A11"/>
    <w:rsid w:val="004A11A1"/>
    <w:rsid w:val="004A765B"/>
    <w:rsid w:val="004B5A61"/>
    <w:rsid w:val="004C209A"/>
    <w:rsid w:val="004C29A4"/>
    <w:rsid w:val="004C78EA"/>
    <w:rsid w:val="004D1F05"/>
    <w:rsid w:val="004E0641"/>
    <w:rsid w:val="004E0D31"/>
    <w:rsid w:val="004E23C7"/>
    <w:rsid w:val="004E425C"/>
    <w:rsid w:val="004F269C"/>
    <w:rsid w:val="004F4556"/>
    <w:rsid w:val="00501D6D"/>
    <w:rsid w:val="005044D2"/>
    <w:rsid w:val="00510138"/>
    <w:rsid w:val="00511E0C"/>
    <w:rsid w:val="00514D3E"/>
    <w:rsid w:val="00517C0E"/>
    <w:rsid w:val="005331B2"/>
    <w:rsid w:val="005334A3"/>
    <w:rsid w:val="00546436"/>
    <w:rsid w:val="00551EE2"/>
    <w:rsid w:val="00554E19"/>
    <w:rsid w:val="00563BAE"/>
    <w:rsid w:val="00574981"/>
    <w:rsid w:val="00575664"/>
    <w:rsid w:val="00583EDB"/>
    <w:rsid w:val="005976D6"/>
    <w:rsid w:val="005A0A50"/>
    <w:rsid w:val="005A38D6"/>
    <w:rsid w:val="005B3BF4"/>
    <w:rsid w:val="005C18B4"/>
    <w:rsid w:val="005E6073"/>
    <w:rsid w:val="005F3D19"/>
    <w:rsid w:val="005F681F"/>
    <w:rsid w:val="00601360"/>
    <w:rsid w:val="0060439F"/>
    <w:rsid w:val="00605539"/>
    <w:rsid w:val="006129DB"/>
    <w:rsid w:val="006204AE"/>
    <w:rsid w:val="00622161"/>
    <w:rsid w:val="00624495"/>
    <w:rsid w:val="0062553E"/>
    <w:rsid w:val="00632022"/>
    <w:rsid w:val="006321F9"/>
    <w:rsid w:val="00645663"/>
    <w:rsid w:val="006514BC"/>
    <w:rsid w:val="006548FF"/>
    <w:rsid w:val="006553BF"/>
    <w:rsid w:val="0066006C"/>
    <w:rsid w:val="006706D9"/>
    <w:rsid w:val="0067468C"/>
    <w:rsid w:val="00676FF4"/>
    <w:rsid w:val="0067744B"/>
    <w:rsid w:val="00681000"/>
    <w:rsid w:val="00682EF7"/>
    <w:rsid w:val="0068556E"/>
    <w:rsid w:val="00685D60"/>
    <w:rsid w:val="00692A8D"/>
    <w:rsid w:val="006A190A"/>
    <w:rsid w:val="006A7B88"/>
    <w:rsid w:val="006B2003"/>
    <w:rsid w:val="006B69B2"/>
    <w:rsid w:val="006B6C31"/>
    <w:rsid w:val="006C04DC"/>
    <w:rsid w:val="006C4397"/>
    <w:rsid w:val="006C4DAC"/>
    <w:rsid w:val="006C6373"/>
    <w:rsid w:val="006D0A10"/>
    <w:rsid w:val="006D1C44"/>
    <w:rsid w:val="006D385C"/>
    <w:rsid w:val="006D452E"/>
    <w:rsid w:val="006D458F"/>
    <w:rsid w:val="006D54A4"/>
    <w:rsid w:val="006F1541"/>
    <w:rsid w:val="006F1E23"/>
    <w:rsid w:val="00700200"/>
    <w:rsid w:val="0070222E"/>
    <w:rsid w:val="00705583"/>
    <w:rsid w:val="00707C0A"/>
    <w:rsid w:val="00723E85"/>
    <w:rsid w:val="00727DD4"/>
    <w:rsid w:val="007403C2"/>
    <w:rsid w:val="007413ED"/>
    <w:rsid w:val="00751302"/>
    <w:rsid w:val="00752AA6"/>
    <w:rsid w:val="00755CF3"/>
    <w:rsid w:val="00756DBE"/>
    <w:rsid w:val="00764BA7"/>
    <w:rsid w:val="00764DCD"/>
    <w:rsid w:val="0076682A"/>
    <w:rsid w:val="00770812"/>
    <w:rsid w:val="00772086"/>
    <w:rsid w:val="007736D9"/>
    <w:rsid w:val="007741FD"/>
    <w:rsid w:val="00782CF4"/>
    <w:rsid w:val="007838EB"/>
    <w:rsid w:val="00783C84"/>
    <w:rsid w:val="0079490D"/>
    <w:rsid w:val="007973BD"/>
    <w:rsid w:val="007A2FA3"/>
    <w:rsid w:val="007A3439"/>
    <w:rsid w:val="007A4EDB"/>
    <w:rsid w:val="007A6E1D"/>
    <w:rsid w:val="007C23C1"/>
    <w:rsid w:val="007C6E7E"/>
    <w:rsid w:val="007C7A7A"/>
    <w:rsid w:val="007D1461"/>
    <w:rsid w:val="007D7691"/>
    <w:rsid w:val="007D7B6B"/>
    <w:rsid w:val="007E2BDA"/>
    <w:rsid w:val="007F7DD1"/>
    <w:rsid w:val="00801D34"/>
    <w:rsid w:val="00807543"/>
    <w:rsid w:val="008122EB"/>
    <w:rsid w:val="00814F0F"/>
    <w:rsid w:val="008161DE"/>
    <w:rsid w:val="00817E54"/>
    <w:rsid w:val="00820267"/>
    <w:rsid w:val="008335BC"/>
    <w:rsid w:val="00842CCA"/>
    <w:rsid w:val="008448BA"/>
    <w:rsid w:val="008475DB"/>
    <w:rsid w:val="00853492"/>
    <w:rsid w:val="00855B81"/>
    <w:rsid w:val="00861A17"/>
    <w:rsid w:val="008635C9"/>
    <w:rsid w:val="008651BB"/>
    <w:rsid w:val="00866828"/>
    <w:rsid w:val="00871639"/>
    <w:rsid w:val="00874C70"/>
    <w:rsid w:val="00876190"/>
    <w:rsid w:val="008802CA"/>
    <w:rsid w:val="00880BAB"/>
    <w:rsid w:val="00884B01"/>
    <w:rsid w:val="00887FBF"/>
    <w:rsid w:val="00891479"/>
    <w:rsid w:val="00893B65"/>
    <w:rsid w:val="008A0CB0"/>
    <w:rsid w:val="008A19A7"/>
    <w:rsid w:val="008B1873"/>
    <w:rsid w:val="008B2AE1"/>
    <w:rsid w:val="008C6740"/>
    <w:rsid w:val="008D0C05"/>
    <w:rsid w:val="008D3748"/>
    <w:rsid w:val="008E102C"/>
    <w:rsid w:val="008F040D"/>
    <w:rsid w:val="008F1635"/>
    <w:rsid w:val="008F35E0"/>
    <w:rsid w:val="008F43BB"/>
    <w:rsid w:val="00904543"/>
    <w:rsid w:val="009049E2"/>
    <w:rsid w:val="00905930"/>
    <w:rsid w:val="00905A2A"/>
    <w:rsid w:val="0090759A"/>
    <w:rsid w:val="00917897"/>
    <w:rsid w:val="0092073E"/>
    <w:rsid w:val="00923ADA"/>
    <w:rsid w:val="00926740"/>
    <w:rsid w:val="00927840"/>
    <w:rsid w:val="00933E12"/>
    <w:rsid w:val="00934363"/>
    <w:rsid w:val="0093656B"/>
    <w:rsid w:val="00936DA2"/>
    <w:rsid w:val="009557C5"/>
    <w:rsid w:val="0096100D"/>
    <w:rsid w:val="009668D1"/>
    <w:rsid w:val="00974082"/>
    <w:rsid w:val="009751F2"/>
    <w:rsid w:val="00982ED4"/>
    <w:rsid w:val="00985CBD"/>
    <w:rsid w:val="00986F6A"/>
    <w:rsid w:val="00994F51"/>
    <w:rsid w:val="009A0EBB"/>
    <w:rsid w:val="009A3CDE"/>
    <w:rsid w:val="009B04DA"/>
    <w:rsid w:val="009B19CF"/>
    <w:rsid w:val="009B5481"/>
    <w:rsid w:val="009B5FB0"/>
    <w:rsid w:val="009B6982"/>
    <w:rsid w:val="009C3572"/>
    <w:rsid w:val="009C64FF"/>
    <w:rsid w:val="009C6D83"/>
    <w:rsid w:val="009C7049"/>
    <w:rsid w:val="009C7B21"/>
    <w:rsid w:val="009D2D65"/>
    <w:rsid w:val="009D7954"/>
    <w:rsid w:val="009E721B"/>
    <w:rsid w:val="009F5334"/>
    <w:rsid w:val="00A02B97"/>
    <w:rsid w:val="00A04DD7"/>
    <w:rsid w:val="00A17207"/>
    <w:rsid w:val="00A1792F"/>
    <w:rsid w:val="00A20EAE"/>
    <w:rsid w:val="00A2451C"/>
    <w:rsid w:val="00A24558"/>
    <w:rsid w:val="00A24CF7"/>
    <w:rsid w:val="00A40205"/>
    <w:rsid w:val="00A4359C"/>
    <w:rsid w:val="00A43D8C"/>
    <w:rsid w:val="00A45ADE"/>
    <w:rsid w:val="00A4795F"/>
    <w:rsid w:val="00A47EE0"/>
    <w:rsid w:val="00A51C8B"/>
    <w:rsid w:val="00A639F1"/>
    <w:rsid w:val="00A63C6C"/>
    <w:rsid w:val="00A72DCB"/>
    <w:rsid w:val="00A73BF6"/>
    <w:rsid w:val="00A74FA2"/>
    <w:rsid w:val="00A75415"/>
    <w:rsid w:val="00A85F2D"/>
    <w:rsid w:val="00A90041"/>
    <w:rsid w:val="00A92667"/>
    <w:rsid w:val="00A95C61"/>
    <w:rsid w:val="00A96BDF"/>
    <w:rsid w:val="00AA21CF"/>
    <w:rsid w:val="00AA3F37"/>
    <w:rsid w:val="00AA4125"/>
    <w:rsid w:val="00AA690F"/>
    <w:rsid w:val="00AA7D08"/>
    <w:rsid w:val="00AB0CED"/>
    <w:rsid w:val="00AB16AE"/>
    <w:rsid w:val="00AB469D"/>
    <w:rsid w:val="00AC1C33"/>
    <w:rsid w:val="00AC2051"/>
    <w:rsid w:val="00AC2F2E"/>
    <w:rsid w:val="00AC3B0C"/>
    <w:rsid w:val="00AC3D2D"/>
    <w:rsid w:val="00AC7CFE"/>
    <w:rsid w:val="00AD6475"/>
    <w:rsid w:val="00AE2040"/>
    <w:rsid w:val="00AE239E"/>
    <w:rsid w:val="00AF14D7"/>
    <w:rsid w:val="00AF17DF"/>
    <w:rsid w:val="00AF3A5E"/>
    <w:rsid w:val="00B10542"/>
    <w:rsid w:val="00B16530"/>
    <w:rsid w:val="00B25500"/>
    <w:rsid w:val="00B269B1"/>
    <w:rsid w:val="00B275B3"/>
    <w:rsid w:val="00B332A7"/>
    <w:rsid w:val="00B35E17"/>
    <w:rsid w:val="00B36878"/>
    <w:rsid w:val="00B37192"/>
    <w:rsid w:val="00B40EC7"/>
    <w:rsid w:val="00B425CD"/>
    <w:rsid w:val="00B4563F"/>
    <w:rsid w:val="00B47500"/>
    <w:rsid w:val="00B554F5"/>
    <w:rsid w:val="00B61052"/>
    <w:rsid w:val="00B64046"/>
    <w:rsid w:val="00B66F56"/>
    <w:rsid w:val="00B676A6"/>
    <w:rsid w:val="00B67B50"/>
    <w:rsid w:val="00B8712B"/>
    <w:rsid w:val="00B93442"/>
    <w:rsid w:val="00B968B7"/>
    <w:rsid w:val="00B97D5E"/>
    <w:rsid w:val="00BA01B8"/>
    <w:rsid w:val="00BA2A21"/>
    <w:rsid w:val="00BB1484"/>
    <w:rsid w:val="00BB387C"/>
    <w:rsid w:val="00BB4CB0"/>
    <w:rsid w:val="00BC2570"/>
    <w:rsid w:val="00BD3AFE"/>
    <w:rsid w:val="00BE25A4"/>
    <w:rsid w:val="00BF58B0"/>
    <w:rsid w:val="00BF7719"/>
    <w:rsid w:val="00C011C8"/>
    <w:rsid w:val="00C110B3"/>
    <w:rsid w:val="00C121C4"/>
    <w:rsid w:val="00C156A4"/>
    <w:rsid w:val="00C21CF0"/>
    <w:rsid w:val="00C27F2D"/>
    <w:rsid w:val="00C374DB"/>
    <w:rsid w:val="00C37E81"/>
    <w:rsid w:val="00C46E07"/>
    <w:rsid w:val="00C511B4"/>
    <w:rsid w:val="00C53FB4"/>
    <w:rsid w:val="00C67F42"/>
    <w:rsid w:val="00C844EE"/>
    <w:rsid w:val="00C86765"/>
    <w:rsid w:val="00C96714"/>
    <w:rsid w:val="00C97A83"/>
    <w:rsid w:val="00CA0F8B"/>
    <w:rsid w:val="00CB3347"/>
    <w:rsid w:val="00CB5205"/>
    <w:rsid w:val="00CB543C"/>
    <w:rsid w:val="00CC0ED0"/>
    <w:rsid w:val="00CC4C2A"/>
    <w:rsid w:val="00CD259E"/>
    <w:rsid w:val="00CD52C1"/>
    <w:rsid w:val="00CE09FA"/>
    <w:rsid w:val="00CE49D0"/>
    <w:rsid w:val="00CF35EF"/>
    <w:rsid w:val="00CF44AD"/>
    <w:rsid w:val="00D0411D"/>
    <w:rsid w:val="00D1284F"/>
    <w:rsid w:val="00D136E3"/>
    <w:rsid w:val="00D149C5"/>
    <w:rsid w:val="00D2051C"/>
    <w:rsid w:val="00D210B0"/>
    <w:rsid w:val="00D27853"/>
    <w:rsid w:val="00D30442"/>
    <w:rsid w:val="00D33061"/>
    <w:rsid w:val="00D33AF0"/>
    <w:rsid w:val="00D33C39"/>
    <w:rsid w:val="00D40DD8"/>
    <w:rsid w:val="00D61247"/>
    <w:rsid w:val="00D61A20"/>
    <w:rsid w:val="00D71E24"/>
    <w:rsid w:val="00D76C2D"/>
    <w:rsid w:val="00D7706C"/>
    <w:rsid w:val="00D95369"/>
    <w:rsid w:val="00DA04BF"/>
    <w:rsid w:val="00DA1226"/>
    <w:rsid w:val="00DB007A"/>
    <w:rsid w:val="00DB4C2A"/>
    <w:rsid w:val="00DD2DBE"/>
    <w:rsid w:val="00DD31B5"/>
    <w:rsid w:val="00DE4304"/>
    <w:rsid w:val="00DF5EFF"/>
    <w:rsid w:val="00E014FE"/>
    <w:rsid w:val="00E04DFA"/>
    <w:rsid w:val="00E05849"/>
    <w:rsid w:val="00E07ED6"/>
    <w:rsid w:val="00E1182A"/>
    <w:rsid w:val="00E149A5"/>
    <w:rsid w:val="00E17049"/>
    <w:rsid w:val="00E171AB"/>
    <w:rsid w:val="00E2034D"/>
    <w:rsid w:val="00E22C8F"/>
    <w:rsid w:val="00E2355D"/>
    <w:rsid w:val="00E25EC4"/>
    <w:rsid w:val="00E27EA7"/>
    <w:rsid w:val="00E326A9"/>
    <w:rsid w:val="00E33D96"/>
    <w:rsid w:val="00E45785"/>
    <w:rsid w:val="00E47FB5"/>
    <w:rsid w:val="00E50E3F"/>
    <w:rsid w:val="00E5227C"/>
    <w:rsid w:val="00E5358A"/>
    <w:rsid w:val="00E53B1C"/>
    <w:rsid w:val="00E629C3"/>
    <w:rsid w:val="00E70205"/>
    <w:rsid w:val="00E71CA2"/>
    <w:rsid w:val="00E7262C"/>
    <w:rsid w:val="00E73F4A"/>
    <w:rsid w:val="00E93714"/>
    <w:rsid w:val="00E9670A"/>
    <w:rsid w:val="00EA1C37"/>
    <w:rsid w:val="00EA4A85"/>
    <w:rsid w:val="00EB0431"/>
    <w:rsid w:val="00EB5BFC"/>
    <w:rsid w:val="00EC2B3F"/>
    <w:rsid w:val="00EC76EA"/>
    <w:rsid w:val="00ED7D76"/>
    <w:rsid w:val="00EE12F6"/>
    <w:rsid w:val="00EE50A1"/>
    <w:rsid w:val="00EF1B31"/>
    <w:rsid w:val="00F01C8E"/>
    <w:rsid w:val="00F06AD3"/>
    <w:rsid w:val="00F13913"/>
    <w:rsid w:val="00F13CF9"/>
    <w:rsid w:val="00F21FC5"/>
    <w:rsid w:val="00F27D94"/>
    <w:rsid w:val="00F37558"/>
    <w:rsid w:val="00F40D22"/>
    <w:rsid w:val="00F456C7"/>
    <w:rsid w:val="00F45709"/>
    <w:rsid w:val="00F63950"/>
    <w:rsid w:val="00F7661A"/>
    <w:rsid w:val="00F76D00"/>
    <w:rsid w:val="00F8397F"/>
    <w:rsid w:val="00F83DDD"/>
    <w:rsid w:val="00F878A1"/>
    <w:rsid w:val="00F90D7A"/>
    <w:rsid w:val="00F91D8A"/>
    <w:rsid w:val="00FA00CC"/>
    <w:rsid w:val="00FA2AD5"/>
    <w:rsid w:val="00FA4870"/>
    <w:rsid w:val="00FA6CBE"/>
    <w:rsid w:val="00FB7E6F"/>
    <w:rsid w:val="00FC2085"/>
    <w:rsid w:val="00FD2182"/>
    <w:rsid w:val="00FD3D96"/>
    <w:rsid w:val="00FD491C"/>
    <w:rsid w:val="00FD5A6F"/>
    <w:rsid w:val="00FE5DF7"/>
    <w:rsid w:val="00FE6836"/>
    <w:rsid w:val="00FF36DA"/>
    <w:rsid w:val="00FF63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A29CF0"/>
  <w15:docId w15:val="{1767B65F-47D1-441F-A5D6-41953939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849"/>
    <w:pPr>
      <w:spacing w:before="120" w:after="100" w:afterAutospacing="1"/>
      <w:ind w:right="669"/>
    </w:pPr>
    <w:rPr>
      <w:rFonts w:ascii="Arial" w:hAnsi="Arial"/>
      <w:sz w:val="22"/>
      <w:lang w:val="nl-BE"/>
    </w:rPr>
  </w:style>
  <w:style w:type="paragraph" w:styleId="Titre1">
    <w:name w:val="heading 1"/>
    <w:basedOn w:val="Normal"/>
    <w:next w:val="Normal"/>
    <w:qFormat/>
    <w:rsid w:val="00700200"/>
    <w:pPr>
      <w:widowControl w:val="0"/>
      <w:spacing w:after="240" w:afterAutospacing="0"/>
      <w:ind w:right="662"/>
      <w:outlineLvl w:val="0"/>
    </w:pPr>
    <w:rPr>
      <w:b/>
      <w:sz w:val="32"/>
      <w:lang w:val="en-AU"/>
    </w:rPr>
  </w:style>
  <w:style w:type="paragraph" w:styleId="Titre2">
    <w:name w:val="heading 2"/>
    <w:basedOn w:val="Normal"/>
    <w:next w:val="Normal"/>
    <w:qFormat/>
    <w:rsid w:val="00700200"/>
    <w:pPr>
      <w:widowControl w:val="0"/>
      <w:spacing w:before="320"/>
      <w:outlineLvl w:val="1"/>
    </w:pPr>
    <w:rPr>
      <w:b/>
      <w:sz w:val="24"/>
      <w:lang w:val="en-AU"/>
    </w:rPr>
  </w:style>
  <w:style w:type="paragraph" w:styleId="Titre3">
    <w:name w:val="heading 3"/>
    <w:basedOn w:val="Normal"/>
    <w:next w:val="Normal"/>
    <w:link w:val="Titre3Car"/>
    <w:qFormat/>
    <w:rsid w:val="00FB7E6F"/>
    <w:pPr>
      <w:widowControl w:val="0"/>
      <w:spacing w:before="0"/>
      <w:outlineLvl w:val="2"/>
    </w:pPr>
    <w:rPr>
      <w:i/>
    </w:rPr>
  </w:style>
  <w:style w:type="paragraph" w:styleId="Titre4">
    <w:name w:val="heading 4"/>
    <w:basedOn w:val="Normal"/>
    <w:next w:val="Normal"/>
    <w:link w:val="Titre4Car"/>
    <w:qFormat/>
    <w:rsid w:val="005A0A50"/>
    <w:pPr>
      <w:keepNext/>
      <w:spacing w:after="120" w:afterAutospacing="0"/>
      <w:ind w:right="0"/>
      <w:outlineLvl w:val="3"/>
    </w:pPr>
    <w:rPr>
      <w:rFonts w:ascii="Palatino Linotype" w:eastAsia="Times New Roman" w:hAnsi="Palatino Linotype"/>
      <w:b/>
      <w:bCs/>
      <w:sz w:val="20"/>
      <w:lang w:val="en-AU"/>
    </w:rPr>
  </w:style>
  <w:style w:type="paragraph" w:styleId="Titre5">
    <w:name w:val="heading 5"/>
    <w:basedOn w:val="Normal"/>
    <w:next w:val="Normal"/>
    <w:link w:val="Titre5Car"/>
    <w:qFormat/>
    <w:rsid w:val="005A0A50"/>
    <w:pPr>
      <w:keepNext/>
      <w:spacing w:before="0" w:after="0" w:afterAutospacing="0"/>
      <w:ind w:right="0"/>
      <w:outlineLvl w:val="4"/>
    </w:pPr>
    <w:rPr>
      <w:rFonts w:ascii="Palatino Linotype" w:eastAsia="Times New Roman" w:hAnsi="Palatino Linotype"/>
      <w:b/>
      <w:sz w:val="18"/>
      <w:lang w:val="nl-NL"/>
    </w:rPr>
  </w:style>
  <w:style w:type="paragraph" w:styleId="Titre6">
    <w:name w:val="heading 6"/>
    <w:basedOn w:val="Normal"/>
    <w:next w:val="Normal"/>
    <w:link w:val="Titre6Car"/>
    <w:uiPriority w:val="99"/>
    <w:qFormat/>
    <w:rsid w:val="005A0A50"/>
    <w:pPr>
      <w:keepNext/>
      <w:spacing w:before="240" w:after="240" w:afterAutospacing="0"/>
      <w:ind w:right="0"/>
      <w:jc w:val="center"/>
      <w:outlineLvl w:val="5"/>
    </w:pPr>
    <w:rPr>
      <w:rFonts w:ascii="Palatino Linotype" w:eastAsia="Times New Roman" w:hAnsi="Palatino Linotype"/>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B7E6F"/>
    <w:pPr>
      <w:tabs>
        <w:tab w:val="center" w:pos="4153"/>
        <w:tab w:val="right" w:pos="8306"/>
      </w:tabs>
      <w:spacing w:before="0" w:after="0" w:afterAutospacing="0"/>
    </w:pPr>
  </w:style>
  <w:style w:type="paragraph" w:styleId="Pieddepage">
    <w:name w:val="footer"/>
    <w:basedOn w:val="Normal"/>
    <w:link w:val="PieddepageCar"/>
    <w:uiPriority w:val="99"/>
    <w:rsid w:val="00FB7E6F"/>
    <w:pPr>
      <w:tabs>
        <w:tab w:val="center" w:pos="4153"/>
        <w:tab w:val="right" w:pos="8306"/>
      </w:tabs>
    </w:pPr>
  </w:style>
  <w:style w:type="paragraph" w:styleId="Notedefin">
    <w:name w:val="endnote text"/>
    <w:basedOn w:val="Normal"/>
    <w:semiHidden/>
    <w:rsid w:val="00FB7E6F"/>
    <w:rPr>
      <w:sz w:val="16"/>
    </w:rPr>
  </w:style>
  <w:style w:type="character" w:styleId="Appeldenotedefin">
    <w:name w:val="endnote reference"/>
    <w:basedOn w:val="Policepardfaut"/>
    <w:semiHidden/>
    <w:rsid w:val="00FB7E6F"/>
    <w:rPr>
      <w:vertAlign w:val="superscript"/>
    </w:rPr>
  </w:style>
  <w:style w:type="paragraph" w:customStyle="1" w:styleId="Bulleted">
    <w:name w:val="Bulleted"/>
    <w:basedOn w:val="En-tte"/>
    <w:rsid w:val="00FB7E6F"/>
    <w:pPr>
      <w:numPr>
        <w:numId w:val="1"/>
      </w:numPr>
      <w:tabs>
        <w:tab w:val="clear" w:pos="4153"/>
        <w:tab w:val="clear" w:pos="8306"/>
        <w:tab w:val="left" w:pos="487"/>
      </w:tabs>
      <w:spacing w:before="120"/>
      <w:ind w:left="2382" w:right="1072" w:hanging="397"/>
    </w:pPr>
  </w:style>
  <w:style w:type="paragraph" w:customStyle="1" w:styleId="Numbering">
    <w:name w:val="Numbering"/>
    <w:basedOn w:val="En-tte"/>
    <w:rsid w:val="00FB7E6F"/>
    <w:pPr>
      <w:numPr>
        <w:numId w:val="2"/>
      </w:numPr>
      <w:tabs>
        <w:tab w:val="clear" w:pos="4153"/>
        <w:tab w:val="clear" w:pos="8306"/>
        <w:tab w:val="left" w:pos="487"/>
      </w:tabs>
      <w:spacing w:before="120"/>
      <w:ind w:right="1072"/>
    </w:pPr>
  </w:style>
  <w:style w:type="paragraph" w:styleId="Textedebulles">
    <w:name w:val="Balloon Text"/>
    <w:basedOn w:val="Normal"/>
    <w:link w:val="TextedebullesCar"/>
    <w:rsid w:val="003A24D5"/>
    <w:pPr>
      <w:spacing w:before="0" w:after="0"/>
    </w:pPr>
    <w:rPr>
      <w:rFonts w:ascii="Tahoma" w:hAnsi="Tahoma" w:cs="Tahoma"/>
      <w:sz w:val="16"/>
      <w:szCs w:val="16"/>
    </w:rPr>
  </w:style>
  <w:style w:type="character" w:customStyle="1" w:styleId="TextedebullesCar">
    <w:name w:val="Texte de bulles Car"/>
    <w:basedOn w:val="Policepardfaut"/>
    <w:link w:val="Textedebulles"/>
    <w:rsid w:val="003A24D5"/>
    <w:rPr>
      <w:rFonts w:ascii="Tahoma" w:hAnsi="Tahoma" w:cs="Tahoma"/>
      <w:sz w:val="16"/>
      <w:szCs w:val="16"/>
      <w:lang w:eastAsia="en-US"/>
    </w:rPr>
  </w:style>
  <w:style w:type="character" w:styleId="lev">
    <w:name w:val="Strong"/>
    <w:basedOn w:val="Policepardfaut"/>
    <w:qFormat/>
    <w:rsid w:val="00CD259E"/>
    <w:rPr>
      <w:rFonts w:asciiTheme="minorHAnsi" w:hAnsiTheme="minorHAnsi"/>
      <w:b/>
      <w:bCs/>
      <w:sz w:val="22"/>
    </w:rPr>
  </w:style>
  <w:style w:type="character" w:styleId="Accentuation">
    <w:name w:val="Emphasis"/>
    <w:basedOn w:val="Policepardfaut"/>
    <w:qFormat/>
    <w:rsid w:val="00087592"/>
    <w:rPr>
      <w:rFonts w:asciiTheme="minorHAnsi" w:hAnsiTheme="minorHAnsi"/>
      <w:iCs/>
      <w:spacing w:val="0"/>
      <w:position w:val="0"/>
      <w:sz w:val="22"/>
    </w:rPr>
  </w:style>
  <w:style w:type="paragraph" w:styleId="Titre">
    <w:name w:val="Title"/>
    <w:basedOn w:val="Normal"/>
    <w:next w:val="Normal"/>
    <w:link w:val="TitreCar"/>
    <w:qFormat/>
    <w:rsid w:val="0070222E"/>
    <w:pPr>
      <w:pBdr>
        <w:bottom w:val="single" w:sz="8" w:space="4" w:color="19D2C8" w:themeColor="accent1"/>
      </w:pBdr>
      <w:spacing w:before="0" w:after="300"/>
      <w:contextualSpacing/>
    </w:pPr>
    <w:rPr>
      <w:rFonts w:asciiTheme="majorHAnsi" w:eastAsiaTheme="majorEastAsia" w:hAnsiTheme="majorHAnsi" w:cstheme="majorBidi"/>
      <w:color w:val="000000" w:themeColor="text2" w:themeShade="BF"/>
      <w:spacing w:val="5"/>
      <w:kern w:val="28"/>
      <w:sz w:val="32"/>
      <w:szCs w:val="52"/>
    </w:rPr>
  </w:style>
  <w:style w:type="character" w:customStyle="1" w:styleId="TitreCar">
    <w:name w:val="Titre Car"/>
    <w:basedOn w:val="Policepardfaut"/>
    <w:link w:val="Titre"/>
    <w:rsid w:val="0070222E"/>
    <w:rPr>
      <w:rFonts w:asciiTheme="majorHAnsi" w:eastAsiaTheme="majorEastAsia" w:hAnsiTheme="majorHAnsi" w:cstheme="majorBidi"/>
      <w:color w:val="000000" w:themeColor="text2" w:themeShade="BF"/>
      <w:spacing w:val="5"/>
      <w:kern w:val="28"/>
      <w:sz w:val="32"/>
      <w:szCs w:val="52"/>
      <w:lang w:val="nl-BE"/>
    </w:rPr>
  </w:style>
  <w:style w:type="paragraph" w:styleId="Sous-titre">
    <w:name w:val="Subtitle"/>
    <w:basedOn w:val="Normal"/>
    <w:next w:val="Normal"/>
    <w:link w:val="Sous-titreCar"/>
    <w:qFormat/>
    <w:rsid w:val="00087592"/>
    <w:pPr>
      <w:numPr>
        <w:ilvl w:val="1"/>
      </w:numPr>
      <w:ind w:left="1400"/>
    </w:pPr>
    <w:rPr>
      <w:rFonts w:asciiTheme="majorHAnsi" w:eastAsiaTheme="majorEastAsia" w:hAnsiTheme="majorHAnsi" w:cstheme="majorBidi"/>
      <w:i/>
      <w:iCs/>
      <w:color w:val="19D2C8" w:themeColor="accent1"/>
      <w:spacing w:val="15"/>
      <w:sz w:val="24"/>
      <w:szCs w:val="24"/>
    </w:rPr>
  </w:style>
  <w:style w:type="character" w:customStyle="1" w:styleId="Sous-titreCar">
    <w:name w:val="Sous-titre Car"/>
    <w:basedOn w:val="Policepardfaut"/>
    <w:link w:val="Sous-titre"/>
    <w:rsid w:val="00087592"/>
    <w:rPr>
      <w:rFonts w:asciiTheme="majorHAnsi" w:eastAsiaTheme="majorEastAsia" w:hAnsiTheme="majorHAnsi" w:cstheme="majorBidi"/>
      <w:i/>
      <w:iCs/>
      <w:color w:val="19D2C8" w:themeColor="accent1"/>
      <w:spacing w:val="15"/>
      <w:sz w:val="24"/>
      <w:szCs w:val="24"/>
      <w:lang w:eastAsia="en-US"/>
    </w:rPr>
  </w:style>
  <w:style w:type="character" w:styleId="Rfrencelgre">
    <w:name w:val="Subtle Reference"/>
    <w:basedOn w:val="Policepardfaut"/>
    <w:uiPriority w:val="31"/>
    <w:qFormat/>
    <w:rsid w:val="00933E12"/>
    <w:rPr>
      <w:smallCaps/>
      <w:color w:val="9678E6" w:themeColor="accent2"/>
      <w:u w:val="single"/>
    </w:rPr>
  </w:style>
  <w:style w:type="character" w:styleId="Lienhypertexte">
    <w:name w:val="Hyperlink"/>
    <w:basedOn w:val="Policepardfaut"/>
    <w:rsid w:val="00933E12"/>
    <w:rPr>
      <w:color w:val="000000" w:themeColor="hyperlink"/>
      <w:u w:val="single"/>
    </w:rPr>
  </w:style>
  <w:style w:type="paragraph" w:styleId="Sansinterligne">
    <w:name w:val="No Spacing"/>
    <w:uiPriority w:val="1"/>
    <w:qFormat/>
    <w:rsid w:val="00917897"/>
    <w:pPr>
      <w:spacing w:afterAutospacing="1"/>
      <w:ind w:right="669"/>
    </w:pPr>
    <w:rPr>
      <w:rFonts w:ascii="Arial" w:hAnsi="Arial"/>
      <w:sz w:val="22"/>
      <w:lang w:val="nl-BE"/>
    </w:rPr>
  </w:style>
  <w:style w:type="table" w:styleId="Grilledutableau">
    <w:name w:val="Table Grid"/>
    <w:basedOn w:val="TableauNormal"/>
    <w:rsid w:val="005A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9"/>
    <w:rsid w:val="005A0A50"/>
    <w:rPr>
      <w:rFonts w:ascii="Palatino Linotype" w:eastAsia="Times New Roman" w:hAnsi="Palatino Linotype"/>
      <w:b/>
      <w:lang w:val="nl-BE"/>
    </w:rPr>
  </w:style>
  <w:style w:type="character" w:customStyle="1" w:styleId="Titre4Car">
    <w:name w:val="Titre 4 Car"/>
    <w:basedOn w:val="Policepardfaut"/>
    <w:link w:val="Titre4"/>
    <w:rsid w:val="005A0A50"/>
    <w:rPr>
      <w:rFonts w:ascii="Palatino Linotype" w:eastAsia="Times New Roman" w:hAnsi="Palatino Linotype"/>
      <w:b/>
      <w:bCs/>
      <w:lang w:val="en-AU"/>
    </w:rPr>
  </w:style>
  <w:style w:type="character" w:customStyle="1" w:styleId="Titre5Car">
    <w:name w:val="Titre 5 Car"/>
    <w:basedOn w:val="Policepardfaut"/>
    <w:link w:val="Titre5"/>
    <w:rsid w:val="005A0A50"/>
    <w:rPr>
      <w:rFonts w:ascii="Palatino Linotype" w:eastAsia="Times New Roman" w:hAnsi="Palatino Linotype"/>
      <w:b/>
      <w:sz w:val="18"/>
      <w:lang w:val="nl-NL"/>
    </w:rPr>
  </w:style>
  <w:style w:type="character" w:customStyle="1" w:styleId="Titre3Car">
    <w:name w:val="Titre 3 Car"/>
    <w:basedOn w:val="Policepardfaut"/>
    <w:link w:val="Titre3"/>
    <w:locked/>
    <w:rsid w:val="005A0A50"/>
    <w:rPr>
      <w:rFonts w:ascii="Arial" w:hAnsi="Arial"/>
      <w:i/>
      <w:sz w:val="22"/>
      <w:lang w:val="nl-BE"/>
    </w:rPr>
  </w:style>
  <w:style w:type="paragraph" w:styleId="Paragraphedeliste">
    <w:name w:val="List Paragraph"/>
    <w:basedOn w:val="Normal"/>
    <w:link w:val="ParagraphedelisteCar"/>
    <w:uiPriority w:val="34"/>
    <w:qFormat/>
    <w:rsid w:val="005A0A50"/>
    <w:pPr>
      <w:spacing w:before="0" w:after="0" w:afterAutospacing="0"/>
      <w:ind w:left="720" w:right="0"/>
      <w:contextualSpacing/>
    </w:pPr>
    <w:rPr>
      <w:rFonts w:ascii="Palatino Linotype" w:eastAsia="Times New Roman" w:hAnsi="Palatino Linotype"/>
      <w:sz w:val="20"/>
      <w:lang w:val="nl-NL"/>
    </w:rPr>
  </w:style>
  <w:style w:type="character" w:customStyle="1" w:styleId="ParagraphedelisteCar">
    <w:name w:val="Paragraphe de liste Car"/>
    <w:basedOn w:val="Policepardfaut"/>
    <w:link w:val="Paragraphedeliste"/>
    <w:uiPriority w:val="34"/>
    <w:locked/>
    <w:rsid w:val="005A0A50"/>
    <w:rPr>
      <w:rFonts w:ascii="Palatino Linotype" w:eastAsia="Times New Roman" w:hAnsi="Palatino Linotype"/>
      <w:lang w:val="nl-NL"/>
    </w:rPr>
  </w:style>
  <w:style w:type="character" w:customStyle="1" w:styleId="En-tteCar">
    <w:name w:val="En-tête Car"/>
    <w:basedOn w:val="Policepardfaut"/>
    <w:link w:val="En-tte"/>
    <w:uiPriority w:val="99"/>
    <w:locked/>
    <w:rsid w:val="005A0A50"/>
    <w:rPr>
      <w:rFonts w:ascii="Arial" w:hAnsi="Arial"/>
      <w:sz w:val="22"/>
      <w:lang w:val="nl-BE"/>
    </w:rPr>
  </w:style>
  <w:style w:type="character" w:customStyle="1" w:styleId="PieddepageCar">
    <w:name w:val="Pied de page Car"/>
    <w:basedOn w:val="Policepardfaut"/>
    <w:link w:val="Pieddepage"/>
    <w:uiPriority w:val="99"/>
    <w:rsid w:val="004D1F05"/>
    <w:rPr>
      <w:rFonts w:ascii="Arial" w:hAnsi="Arial"/>
      <w:sz w:val="22"/>
      <w:lang w:val="nl-BE"/>
    </w:rPr>
  </w:style>
  <w:style w:type="paragraph" w:styleId="Textebrut">
    <w:name w:val="Plain Text"/>
    <w:basedOn w:val="Normal"/>
    <w:link w:val="TextebrutCar"/>
    <w:rsid w:val="00264DE3"/>
    <w:pPr>
      <w:spacing w:before="0" w:after="0" w:afterAutospacing="0"/>
      <w:ind w:right="0"/>
    </w:pPr>
    <w:rPr>
      <w:rFonts w:ascii="Courier New" w:eastAsia="Times New Roman" w:hAnsi="Courier New"/>
      <w:sz w:val="20"/>
      <w:lang w:val="nl-NL"/>
    </w:rPr>
  </w:style>
  <w:style w:type="character" w:customStyle="1" w:styleId="TextebrutCar">
    <w:name w:val="Texte brut Car"/>
    <w:basedOn w:val="Policepardfaut"/>
    <w:link w:val="Textebrut"/>
    <w:rsid w:val="00264DE3"/>
    <w:rPr>
      <w:rFonts w:ascii="Courier New" w:eastAsia="Times New Roman" w:hAnsi="Courier New"/>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37878">
      <w:bodyDiv w:val="1"/>
      <w:marLeft w:val="0"/>
      <w:marRight w:val="0"/>
      <w:marTop w:val="0"/>
      <w:marBottom w:val="0"/>
      <w:divBdr>
        <w:top w:val="none" w:sz="0" w:space="0" w:color="auto"/>
        <w:left w:val="none" w:sz="0" w:space="0" w:color="auto"/>
        <w:bottom w:val="none" w:sz="0" w:space="0" w:color="auto"/>
        <w:right w:val="none" w:sz="0" w:space="0" w:color="auto"/>
      </w:divBdr>
    </w:div>
    <w:div w:id="20381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1">
  <a:themeElements>
    <a:clrScheme name="Comeos">
      <a:dk1>
        <a:srgbClr val="000000"/>
      </a:dk1>
      <a:lt1>
        <a:sysClr val="window" lastClr="FFFFFF"/>
      </a:lt1>
      <a:dk2>
        <a:srgbClr val="000000"/>
      </a:dk2>
      <a:lt2>
        <a:srgbClr val="FFFFFF"/>
      </a:lt2>
      <a:accent1>
        <a:srgbClr val="19D2C8"/>
      </a:accent1>
      <a:accent2>
        <a:srgbClr val="9678E6"/>
      </a:accent2>
      <a:accent3>
        <a:srgbClr val="EC0044"/>
      </a:accent3>
      <a:accent4>
        <a:srgbClr val="00B4FF"/>
      </a:accent4>
      <a:accent5>
        <a:srgbClr val="FFCE00"/>
      </a:accent5>
      <a:accent6>
        <a:srgbClr val="000000"/>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7987D4F-DE86-42FD-BD28-3A93260CC4B2}" vid="{92BE96F1-0AF3-4872-9242-519433127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9EECC120812D44B647F6B4E5FA65D5" ma:contentTypeVersion="13" ma:contentTypeDescription="Create a new document." ma:contentTypeScope="" ma:versionID="dc1eca4789a2e634c92ae50990a36141">
  <xsd:schema xmlns:xsd="http://www.w3.org/2001/XMLSchema" xmlns:xs="http://www.w3.org/2001/XMLSchema" xmlns:p="http://schemas.microsoft.com/office/2006/metadata/properties" xmlns:ns2="e5fb79bc-e66d-40e7-a5a8-9f64d1a28f0b" xmlns:ns3="41b2312e-5c26-4c76-8e4c-6e9da3e0317b" targetNamespace="http://schemas.microsoft.com/office/2006/metadata/properties" ma:root="true" ma:fieldsID="e5b66d182c9f08d2330ac3086aa8c7b3" ns2:_="" ns3:_="">
    <xsd:import namespace="e5fb79bc-e66d-40e7-a5a8-9f64d1a28f0b"/>
    <xsd:import namespace="41b2312e-5c26-4c76-8e4c-6e9da3e03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b79bc-e66d-40e7-a5a8-9f64d1a28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2312e-5c26-4c76-8e4c-6e9da3e031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3C794-BECE-44BF-AA68-6E5E42D41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52311-1AB3-405E-B3CE-5E721766BD67}">
  <ds:schemaRefs>
    <ds:schemaRef ds:uri="http://schemas.openxmlformats.org/officeDocument/2006/bibliography"/>
  </ds:schemaRefs>
</ds:datastoreItem>
</file>

<file path=customXml/itemProps3.xml><?xml version="1.0" encoding="utf-8"?>
<ds:datastoreItem xmlns:ds="http://schemas.openxmlformats.org/officeDocument/2006/customXml" ds:itemID="{90B37E2E-1E9D-4141-88C5-6ABA6FAF1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b79bc-e66d-40e7-a5a8-9f64d1a28f0b"/>
    <ds:schemaRef ds:uri="41b2312e-5c26-4c76-8e4c-6e9da3e03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1F417-E337-4D3E-BB27-8F6C84AD9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1580</Words>
  <Characters>8692</Characters>
  <Application>Microsoft Office Word</Application>
  <DocSecurity>0</DocSecurity>
  <Lines>72</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none</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Dorien Decrick</dc:creator>
  <cp:lastModifiedBy>DEWEVRE Matthieu</cp:lastModifiedBy>
  <cp:revision>10</cp:revision>
  <cp:lastPrinted>2017-07-03T08:40:00Z</cp:lastPrinted>
  <dcterms:created xsi:type="dcterms:W3CDTF">2023-12-01T07:39:00Z</dcterms:created>
  <dcterms:modified xsi:type="dcterms:W3CDTF">2023-12-04T22:36:00Z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0x010100C89EECC120812D44B647F6B4E5FA65D5</vt:lpwstr>
  </property>
  <property fmtid="{D5CDD505-2E9C-101B-9397-08002B2CF9AE}" pid="3" name="Order">
    <vt:r8>2643600</vt:r8>
  </property>
</Properties>
</file>